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BFD4A">
      <w:pPr>
        <w:rPr>
          <w:rFonts w:hint="eastAsia" w:eastAsia="仿宋_GB2312"/>
          <w:sz w:val="32"/>
        </w:rPr>
      </w:pPr>
    </w:p>
    <w:p w14:paraId="3177F6AB">
      <w:pPr>
        <w:pStyle w:val="14"/>
        <w:ind w:firstLine="336"/>
      </w:pPr>
    </w:p>
    <w:p w14:paraId="0B0A325D">
      <w:pPr>
        <w:jc w:val="right"/>
        <w:rPr>
          <w:rFonts w:ascii="Times New Roman" w:hAnsi="Times New Roman" w:eastAsia="仿宋_GB2312"/>
          <w:sz w:val="32"/>
        </w:rPr>
      </w:pPr>
    </w:p>
    <w:p w14:paraId="73BDCE20">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11</w:t>
      </w:r>
      <w:r>
        <w:rPr>
          <w:rFonts w:ascii="Times New Roman" w:hAnsi="Times New Roman" w:eastAsia="方正仿宋简体"/>
          <w:kern w:val="0"/>
          <w:sz w:val="32"/>
          <w:szCs w:val="32"/>
        </w:rPr>
        <w:t>号</w:t>
      </w:r>
    </w:p>
    <w:p w14:paraId="1154F040">
      <w:pPr>
        <w:spacing w:line="500" w:lineRule="exact"/>
        <w:rPr>
          <w:rFonts w:ascii="Times New Roman" w:hAnsi="Times New Roman" w:eastAsia="仿宋_GB2312"/>
          <w:kern w:val="0"/>
          <w:sz w:val="32"/>
          <w:szCs w:val="32"/>
        </w:rPr>
      </w:pPr>
    </w:p>
    <w:p w14:paraId="19D4979A">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36B06A3D">
      <w:pPr>
        <w:spacing w:line="700" w:lineRule="exact"/>
        <w:jc w:val="center"/>
        <w:rPr>
          <w:rFonts w:hint="eastAsia" w:ascii="Times New Roman" w:hAnsi="Times New Roman" w:eastAsia="方正小标宋简体"/>
          <w:kern w:val="0"/>
          <w:sz w:val="44"/>
          <w:szCs w:val="44"/>
          <w:lang w:eastAsia="zh-CN"/>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三明市生态新城市政园林有限公司华东</w:t>
      </w:r>
    </w:p>
    <w:p w14:paraId="6FEDCF5D">
      <w:pPr>
        <w:spacing w:line="700" w:lineRule="exact"/>
        <w:jc w:val="center"/>
        <w:rPr>
          <w:rFonts w:hint="eastAsia" w:ascii="Times New Roman" w:hAnsi="Times New Roman" w:eastAsia="方正小标宋简体"/>
          <w:kern w:val="0"/>
          <w:sz w:val="44"/>
          <w:szCs w:val="44"/>
          <w:lang w:eastAsia="zh-CN"/>
        </w:rPr>
      </w:pPr>
      <w:r>
        <w:rPr>
          <w:rFonts w:hint="eastAsia" w:ascii="Times New Roman" w:hAnsi="Times New Roman" w:eastAsia="方正小标宋简体"/>
          <w:kern w:val="0"/>
          <w:sz w:val="44"/>
          <w:szCs w:val="44"/>
          <w:lang w:eastAsia="zh-CN"/>
        </w:rPr>
        <w:t>师范大学附属三明中学建设项目</w:t>
      </w:r>
    </w:p>
    <w:p w14:paraId="0FB4C415">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65B127BC">
      <w:pPr>
        <w:widowControl/>
        <w:spacing w:line="600" w:lineRule="exact"/>
        <w:rPr>
          <w:rFonts w:ascii="Times New Roman" w:hAnsi="Times New Roman" w:eastAsia="方正仿宋简体"/>
          <w:kern w:val="0"/>
          <w:sz w:val="32"/>
          <w:szCs w:val="32"/>
        </w:rPr>
      </w:pPr>
    </w:p>
    <w:p w14:paraId="15E34744">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三明市生态新城市政园林有限公司</w:t>
      </w:r>
      <w:r>
        <w:rPr>
          <w:rFonts w:ascii="Times New Roman" w:hAnsi="Times New Roman" w:eastAsia="方正仿宋简体"/>
          <w:kern w:val="0"/>
          <w:sz w:val="32"/>
          <w:szCs w:val="32"/>
        </w:rPr>
        <w:t>：</w:t>
      </w:r>
    </w:p>
    <w:p w14:paraId="421E820F">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三明市生态新城市政园林有限公司华东师范大学附属三明中学建设项目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16</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日受理该报告表的审批申请，在沙县区人民政府门户网站对受理情况进行公开，并将报告表全本公示；于2024年</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30</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61CFF523">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拟建项目选址于福建省三明市沙县区生态新城金泉路南侧 </w:t>
      </w:r>
      <w:r>
        <w:rPr>
          <w:rFonts w:hint="eastAsia" w:ascii="Times New Roman" w:hAnsi="Times New Roman" w:eastAsia="方正仿宋简体"/>
          <w:sz w:val="32"/>
          <w:szCs w:val="32"/>
          <w:lang w:eastAsia="zh-CN"/>
        </w:rPr>
        <w:t>。其中，一期工程为学</w:t>
      </w:r>
      <w:r>
        <w:rPr>
          <w:rFonts w:hint="eastAsia" w:ascii="Times New Roman" w:hAnsi="Times New Roman" w:eastAsia="方正仿宋简体"/>
          <w:sz w:val="32"/>
          <w:szCs w:val="32"/>
        </w:rPr>
        <w:t>校工程</w:t>
      </w:r>
      <w:r>
        <w:rPr>
          <w:rFonts w:hint="eastAsia" w:ascii="Times New Roman" w:hAnsi="Times New Roman" w:eastAsia="方正仿宋简体"/>
          <w:sz w:val="32"/>
          <w:szCs w:val="32"/>
          <w:lang w:eastAsia="zh-CN"/>
        </w:rPr>
        <w:t>，建设规模：</w:t>
      </w:r>
      <w:r>
        <w:rPr>
          <w:rFonts w:hint="eastAsia" w:ascii="Times New Roman" w:hAnsi="Times New Roman" w:eastAsia="方正仿宋简体"/>
          <w:sz w:val="32"/>
          <w:szCs w:val="32"/>
        </w:rPr>
        <w:t>24个高中教学班，学生人数1080人。建筑面积约46582平方米，建设1#楼（2栋5层框架结构的教学楼和1栋5层框架结构的科技楼组成）</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2#楼（1栋2层框剪结构的食堂和1栋2层相剪结构的体育馆组成）</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3#楼（2栋6层框架结构的宿舍楼）</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门卫、2#楼架空通道、风雨廊、连廊、3#楼架空层、地下接送中心、人防地下室、2#楼地下灰空间及灰空间设备用房</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同时配套建设6个篮球场、校内道路工程、交通工程、给排水工程、综合管线、照明工程、绿化工程、购置设备设施等。</w:t>
      </w:r>
      <w:r>
        <w:rPr>
          <w:rFonts w:hint="eastAsia" w:ascii="Times New Roman" w:hAnsi="Times New Roman" w:eastAsia="方正仿宋简体"/>
          <w:sz w:val="32"/>
          <w:szCs w:val="32"/>
          <w:lang w:eastAsia="zh-CN"/>
        </w:rPr>
        <w:t>二期工程为</w:t>
      </w:r>
      <w:r>
        <w:rPr>
          <w:rFonts w:hint="eastAsia" w:ascii="Times New Roman" w:hAnsi="Times New Roman" w:eastAsia="方正仿宋简体"/>
          <w:sz w:val="32"/>
          <w:szCs w:val="32"/>
        </w:rPr>
        <w:t>配套路网工程</w:t>
      </w:r>
      <w:r>
        <w:rPr>
          <w:rFonts w:hint="eastAsia" w:ascii="Times New Roman" w:hAnsi="Times New Roman" w:eastAsia="方正仿宋简体"/>
          <w:sz w:val="32"/>
          <w:szCs w:val="32"/>
          <w:lang w:eastAsia="zh-CN"/>
        </w:rPr>
        <w:t>，建设规模为</w:t>
      </w:r>
      <w:r>
        <w:rPr>
          <w:rFonts w:hint="eastAsia" w:ascii="Times New Roman" w:hAnsi="Times New Roman" w:eastAsia="方正仿宋简体"/>
          <w:sz w:val="32"/>
          <w:szCs w:val="32"/>
        </w:rPr>
        <w:t>①AK线：设计全长为226.588m，设计起点位于横一路与纵二路交叉口，设计终点接已建金泉路；②BK线：设计全长为243.2m，设计起点与已建横一路衔接，设计终点至生态新城学校高中部北侧公交站终点；③CK线：设计全长为198.056m，设计起点位于横一路与纵二路交叉口，设计终点接已建纵二路；④DK线：设计全长为150.283m，设计起点与已建纵二路衔接，设计终点至生态新城学校生活部终点</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48634A6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和相关规划</w:t>
      </w:r>
      <w:r>
        <w:rPr>
          <w:rFonts w:hint="eastAsia" w:ascii="Times New Roman" w:hAnsi="Times New Roman" w:eastAsia="方正仿宋简体"/>
          <w:sz w:val="32"/>
          <w:szCs w:val="32"/>
        </w:rPr>
        <w:t>要求。</w:t>
      </w:r>
    </w:p>
    <w:p w14:paraId="567E3D48">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在项目工程设计、建设和环境管理中，你公司必须严格落实报告表提出的各项环保要求，确保其污染物达标排放、符合总量控制要求和不得对周边环境产生影响，并着重做好以下工作：</w:t>
      </w:r>
    </w:p>
    <w:p w14:paraId="02592AC8">
      <w:pPr>
        <w:spacing w:line="570" w:lineRule="exact"/>
        <w:ind w:firstLine="640"/>
        <w:rPr>
          <w:rFonts w:hint="eastAsia" w:ascii="Times New Roman" w:hAnsi="Times New Roman" w:eastAsia="方正仿宋简体"/>
          <w:sz w:val="32"/>
          <w:szCs w:val="32"/>
        </w:rPr>
      </w:pPr>
      <w:r>
        <w:rPr>
          <w:rFonts w:hint="eastAsia" w:ascii="Times New Roman" w:hAnsi="Times New Roman" w:eastAsia="方正仿宋简体"/>
          <w:sz w:val="32"/>
          <w:szCs w:val="32"/>
        </w:rPr>
        <w:t>㈠加强施工期污染防治</w:t>
      </w:r>
    </w:p>
    <w:p w14:paraId="0D60B430">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14:paraId="37EA742C">
      <w:pPr>
        <w:spacing w:line="570" w:lineRule="exact"/>
        <w:ind w:firstLine="640" w:firstLineChars="200"/>
        <w:rPr>
          <w:rFonts w:hint="eastAsia" w:ascii="Times New Roman" w:hAnsi="Times New Roman" w:eastAsia="方正仿宋简体"/>
          <w:sz w:val="32"/>
          <w:szCs w:val="32"/>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p>
    <w:p w14:paraId="5F48F1D6">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⒈一期工程（学校工程）：</w:t>
      </w:r>
      <w:r>
        <w:rPr>
          <w:rFonts w:hint="eastAsia" w:ascii="Times New Roman" w:hAnsi="Times New Roman" w:eastAsia="方正仿宋简体"/>
          <w:sz w:val="32"/>
          <w:szCs w:val="32"/>
        </w:rPr>
        <w:t>项目食堂产生的餐饮废水经隔油池预处理后排入化粪池；</w:t>
      </w:r>
      <w:r>
        <w:rPr>
          <w:rFonts w:hint="eastAsia" w:ascii="Times New Roman" w:hAnsi="Times New Roman" w:eastAsia="方正仿宋简体"/>
          <w:sz w:val="32"/>
          <w:szCs w:val="32"/>
          <w:lang w:eastAsia="zh-CN"/>
        </w:rPr>
        <w:t>不是危废的</w:t>
      </w:r>
      <w:r>
        <w:rPr>
          <w:rFonts w:hint="eastAsia" w:ascii="Times New Roman" w:hAnsi="Times New Roman" w:eastAsia="方正仿宋简体"/>
          <w:sz w:val="32"/>
          <w:szCs w:val="32"/>
        </w:rPr>
        <w:t>清洗废水经实验室“酸碱中和”预处理后排入市政污水管网；师生生活污水排入化粪池；泳池净化废水经</w:t>
      </w:r>
      <w:r>
        <w:rPr>
          <w:rFonts w:hint="eastAsia" w:ascii="Times New Roman" w:hAnsi="Times New Roman" w:eastAsia="方正仿宋简体"/>
          <w:sz w:val="32"/>
          <w:szCs w:val="32"/>
          <w:lang w:eastAsia="zh-CN"/>
        </w:rPr>
        <w:t>废水处理设施</w:t>
      </w:r>
      <w:r>
        <w:rPr>
          <w:rFonts w:hint="eastAsia" w:ascii="Times New Roman" w:hAnsi="Times New Roman" w:eastAsia="方正仿宋简体"/>
          <w:sz w:val="32"/>
          <w:szCs w:val="32"/>
        </w:rPr>
        <w:t>处理后排入市政污水管网，上述废水经处理达标后，由市政管网排入三明生态新城水南污水处理厂处理</w:t>
      </w:r>
      <w:r>
        <w:rPr>
          <w:rFonts w:ascii="Times New Roman" w:hAnsi="Times New Roman" w:eastAsia="方正仿宋简体"/>
          <w:sz w:val="32"/>
          <w:szCs w:val="32"/>
        </w:rPr>
        <w:t>。</w:t>
      </w:r>
    </w:p>
    <w:p w14:paraId="5797B017">
      <w:pPr>
        <w:spacing w:line="570" w:lineRule="exact"/>
        <w:ind w:firstLine="640" w:firstLineChars="20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eastAsia="zh-CN"/>
        </w:rPr>
        <w:t>⒉二期工程（配套路网工程）：严格施工管理，堆放场地应设围挡措施，并加蓬布覆盖，施工废水处理后回用于砂石料或用于施工区的日常洒水，废水不外排。</w:t>
      </w:r>
    </w:p>
    <w:p w14:paraId="451BB858">
      <w:pPr>
        <w:widowControl/>
        <w:spacing w:line="570" w:lineRule="exact"/>
        <w:ind w:firstLine="630"/>
        <w:rPr>
          <w:rFonts w:hint="eastAsia" w:ascii="Times New Roman" w:hAnsi="Times New Roman" w:eastAsia="方正仿宋简体"/>
          <w:sz w:val="32"/>
          <w:szCs w:val="32"/>
        </w:rPr>
      </w:pPr>
      <w:r>
        <w:rPr>
          <w:rFonts w:ascii="Times New Roman" w:hAnsi="Times New Roman" w:eastAsia="方正仿宋简体"/>
          <w:sz w:val="32"/>
          <w:szCs w:val="32"/>
        </w:rPr>
        <w:t>㈢</w:t>
      </w:r>
      <w:r>
        <w:rPr>
          <w:rFonts w:hint="eastAsia" w:ascii="Times New Roman" w:hAnsi="Times New Roman" w:eastAsia="方正仿宋简体"/>
          <w:sz w:val="32"/>
          <w:szCs w:val="32"/>
        </w:rPr>
        <w:t>加强大气污染防治</w:t>
      </w:r>
    </w:p>
    <w:p w14:paraId="436AD556">
      <w:pPr>
        <w:widowControl/>
        <w:spacing w:line="570" w:lineRule="exact"/>
        <w:ind w:firstLine="630"/>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⒈一期工程（学校工程）：</w:t>
      </w:r>
      <w:r>
        <w:rPr>
          <w:rFonts w:hint="eastAsia" w:ascii="Times New Roman" w:hAnsi="Times New Roman" w:eastAsia="方正仿宋简体"/>
          <w:sz w:val="32"/>
          <w:szCs w:val="32"/>
        </w:rPr>
        <w:t>实验室废气经通风橱收集后通过活性炭吸附处理后经排气筒排放；食堂废气</w:t>
      </w:r>
      <w:r>
        <w:rPr>
          <w:rFonts w:hint="eastAsia" w:ascii="Times New Roman" w:hAnsi="Times New Roman" w:eastAsia="方正仿宋简体"/>
          <w:sz w:val="32"/>
          <w:szCs w:val="32"/>
          <w:lang w:eastAsia="zh-CN"/>
        </w:rPr>
        <w:t>通过</w:t>
      </w:r>
      <w:r>
        <w:rPr>
          <w:rFonts w:hint="eastAsia" w:ascii="Times New Roman" w:hAnsi="Times New Roman" w:eastAsia="方正仿宋简体"/>
          <w:sz w:val="32"/>
          <w:szCs w:val="32"/>
        </w:rPr>
        <w:t>烟道引至楼顶经排气筒达标排放；</w:t>
      </w:r>
      <w:bookmarkStart w:id="0" w:name="_GoBack"/>
      <w:bookmarkEnd w:id="0"/>
      <w:r>
        <w:rPr>
          <w:rFonts w:hint="eastAsia" w:ascii="Times New Roman" w:hAnsi="Times New Roman" w:eastAsia="方正仿宋简体"/>
          <w:sz w:val="32"/>
          <w:szCs w:val="32"/>
        </w:rPr>
        <w:t>发电机废气由管道引至楼顶排放；地下车库设置机械排风系统，排风口设置在绿化带内，远离人群密集区域。</w:t>
      </w:r>
    </w:p>
    <w:p w14:paraId="36B98782">
      <w:pPr>
        <w:widowControl/>
        <w:spacing w:line="570" w:lineRule="exact"/>
        <w:ind w:firstLine="630"/>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⒉二期工程（配套路网工程）：运送商品混凝土和建筑材料的车辆实行密闭运输，按照批准的路线和时间进行土石方的运输，行至敏感路段时，应低速行驶或限速行驶；工程开挖土方集中堆放，采取土方表面压实、定期洒水、覆盖等措施；施工过程应设置密目网，料堆应严密遮盖或在库房内存放。</w:t>
      </w:r>
    </w:p>
    <w:p w14:paraId="582AE5C6">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w:t>
      </w:r>
    </w:p>
    <w:p w14:paraId="527CC3F3">
      <w:pPr>
        <w:widowControl/>
        <w:spacing w:line="570" w:lineRule="exact"/>
        <w:ind w:firstLine="630"/>
        <w:rPr>
          <w:rFonts w:hint="eastAsia" w:ascii="Times New Roman" w:hAnsi="Times New Roman" w:eastAsia="方正仿宋简体"/>
          <w:sz w:val="32"/>
          <w:szCs w:val="32"/>
        </w:rPr>
      </w:pPr>
      <w:r>
        <w:rPr>
          <w:rFonts w:hint="eastAsia" w:ascii="Times New Roman" w:hAnsi="Times New Roman" w:eastAsia="方正仿宋简体"/>
          <w:sz w:val="32"/>
          <w:szCs w:val="32"/>
        </w:rPr>
        <w:t>应优先选用低噪声的施工机械和工艺，振动较大的固定机械设备应加装减振机座，固定强噪声源应考虑加装隔声罩，同时应加强各类施工设备的维护和保养；合理布局，</w:t>
      </w:r>
      <w:r>
        <w:rPr>
          <w:rFonts w:hint="eastAsia" w:ascii="Times New Roman" w:hAnsi="Times New Roman" w:eastAsia="方正仿宋简体"/>
          <w:sz w:val="32"/>
          <w:szCs w:val="32"/>
          <w:lang w:eastAsia="zh-CN"/>
        </w:rPr>
        <w:t>确保厂界噪声达标</w:t>
      </w:r>
      <w:r>
        <w:rPr>
          <w:rFonts w:hint="eastAsia" w:ascii="Times New Roman" w:hAnsi="Times New Roman" w:eastAsia="方正仿宋简体"/>
          <w:sz w:val="32"/>
          <w:szCs w:val="32"/>
        </w:rPr>
        <w:t>。</w:t>
      </w:r>
    </w:p>
    <w:p w14:paraId="16911612">
      <w:pPr>
        <w:widowControl/>
        <w:spacing w:line="570" w:lineRule="exact"/>
        <w:ind w:firstLine="630"/>
        <w:rPr>
          <w:rFonts w:hint="eastAsia" w:ascii="Times New Roman" w:hAnsi="Times New Roman" w:eastAsia="方正仿宋简体"/>
          <w:sz w:val="32"/>
          <w:szCs w:val="32"/>
        </w:rPr>
      </w:pPr>
      <w:r>
        <w:rPr>
          <w:rFonts w:hint="eastAsia" w:ascii="Times New Roman" w:hAnsi="Times New Roman" w:eastAsia="方正仿宋简体"/>
          <w:sz w:val="32"/>
          <w:szCs w:val="32"/>
        </w:rPr>
        <w:t>㈤</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w:t>
      </w:r>
    </w:p>
    <w:p w14:paraId="78EABCD4">
      <w:pPr>
        <w:widowControl/>
        <w:spacing w:line="570" w:lineRule="exact"/>
        <w:ind w:firstLine="630"/>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⒈一期工程（学校工程）：</w:t>
      </w:r>
      <w:r>
        <w:rPr>
          <w:rFonts w:hint="eastAsia" w:ascii="Times New Roman" w:hAnsi="Times New Roman" w:eastAsia="方正仿宋简体"/>
          <w:sz w:val="32"/>
          <w:szCs w:val="32"/>
        </w:rPr>
        <w:t>生活垃圾由环卫部门统一清运；隔油浮渣、餐厨垃圾集中收集，交由有处理资质的单位处理；高浓度实验废液及首次仪器清洗水经容器收集后于危废暂存间暂存后委托有资质单位处置；废弃药品包装物、废药品危废分类收集于危废暂存间暂存，委托有资质单位处置。</w:t>
      </w:r>
    </w:p>
    <w:p w14:paraId="560561FB">
      <w:pPr>
        <w:widowControl/>
        <w:spacing w:line="570" w:lineRule="exact"/>
        <w:ind w:firstLine="630"/>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⒉二期工程（配套路网工程）：</w:t>
      </w:r>
      <w:r>
        <w:rPr>
          <w:rFonts w:hint="eastAsia" w:ascii="Times New Roman" w:hAnsi="Times New Roman" w:eastAsia="方正仿宋简体"/>
          <w:sz w:val="32"/>
          <w:szCs w:val="32"/>
        </w:rPr>
        <w:t>期间产生的建筑、生活垃圾应定点堆放收集、及时清运；在工程设计上应做到挖填方平衡；施工场地内的杂草、灌木等植物残体、土壤表层熟土等，应集中放置妥善保存。</w:t>
      </w:r>
    </w:p>
    <w:p w14:paraId="76A97C12">
      <w:pPr>
        <w:widowControl/>
        <w:spacing w:line="570" w:lineRule="exact"/>
        <w:ind w:firstLine="63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eastAsia="zh-CN"/>
        </w:rPr>
        <w:t>㈥加强陆生生态保护</w:t>
      </w:r>
    </w:p>
    <w:p w14:paraId="18FE981F">
      <w:pPr>
        <w:widowControl/>
        <w:spacing w:line="570" w:lineRule="exact"/>
        <w:ind w:firstLine="63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eastAsia="zh-CN"/>
        </w:rPr>
        <w:t>二期工程（配套路网工程）：在工程建设施工过程中，应先行规划，因地制宜地充分利用自然地形地貌，尽量减少占用土地，避免大挖大填，尽力减少植被破坏。</w:t>
      </w:r>
    </w:p>
    <w:p w14:paraId="2C41A47C">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72278F18">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1A3FC696">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rPr>
        <w:t>你公司须</w:t>
      </w:r>
      <w:r>
        <w:rPr>
          <w:rFonts w:ascii="Times New Roman" w:hAnsi="Times New Roman" w:eastAsia="方正仿宋简体"/>
          <w:sz w:val="32"/>
          <w:szCs w:val="32"/>
        </w:rPr>
        <w:t>承担由此引起的一切后果。</w:t>
      </w:r>
    </w:p>
    <w:p w14:paraId="27687291">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4757A7B4">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14:paraId="1AFFBBEA">
      <w:pPr>
        <w:widowControl/>
        <w:spacing w:line="570" w:lineRule="exact"/>
        <w:ind w:firstLine="4640" w:firstLineChars="1450"/>
        <w:rPr>
          <w:rFonts w:ascii="Times New Roman" w:hAnsi="Times New Roman" w:eastAsia="方正仿宋简体"/>
          <w:kern w:val="0"/>
          <w:sz w:val="32"/>
          <w:szCs w:val="32"/>
        </w:rPr>
      </w:pPr>
    </w:p>
    <w:p w14:paraId="0D5E4BF0">
      <w:pPr>
        <w:widowControl/>
        <w:spacing w:line="570" w:lineRule="exact"/>
        <w:ind w:firstLine="4640" w:firstLineChars="1450"/>
        <w:rPr>
          <w:rFonts w:ascii="Times New Roman" w:hAnsi="Times New Roman" w:eastAsia="方正仿宋简体"/>
          <w:kern w:val="0"/>
          <w:sz w:val="32"/>
          <w:szCs w:val="32"/>
        </w:rPr>
      </w:pPr>
    </w:p>
    <w:p w14:paraId="7C499065">
      <w:pPr>
        <w:widowControl/>
        <w:spacing w:line="570" w:lineRule="exact"/>
        <w:ind w:firstLine="4640" w:firstLineChars="1450"/>
        <w:rPr>
          <w:rFonts w:ascii="Times New Roman" w:hAnsi="Times New Roman" w:eastAsia="方正仿宋简体"/>
          <w:kern w:val="0"/>
          <w:sz w:val="32"/>
          <w:szCs w:val="32"/>
        </w:rPr>
      </w:pPr>
    </w:p>
    <w:p w14:paraId="6096D323">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46AFCD35">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8</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6</w:t>
      </w:r>
      <w:r>
        <w:rPr>
          <w:rFonts w:ascii="Times New Roman" w:hAnsi="Times New Roman" w:eastAsia="方正仿宋简体"/>
          <w:kern w:val="0"/>
          <w:sz w:val="32"/>
          <w:szCs w:val="32"/>
        </w:rPr>
        <w:t>日</w:t>
      </w:r>
    </w:p>
    <w:p w14:paraId="68C948FB">
      <w:pPr>
        <w:spacing w:line="570" w:lineRule="exact"/>
        <w:rPr>
          <w:rFonts w:ascii="Times New Roman" w:hAnsi="Times New Roman" w:eastAsia="方正仿宋简体"/>
          <w:kern w:val="0"/>
          <w:sz w:val="32"/>
          <w:szCs w:val="32"/>
        </w:rPr>
      </w:pPr>
    </w:p>
    <w:p w14:paraId="489C0F0E">
      <w:pPr>
        <w:spacing w:line="570" w:lineRule="exact"/>
        <w:rPr>
          <w:rFonts w:ascii="Times New Roman" w:hAnsi="Times New Roman" w:eastAsia="方正仿宋简体"/>
          <w:kern w:val="0"/>
          <w:sz w:val="32"/>
          <w:szCs w:val="32"/>
        </w:rPr>
      </w:pPr>
    </w:p>
    <w:p w14:paraId="37F997BF">
      <w:pPr>
        <w:spacing w:line="570" w:lineRule="exact"/>
        <w:rPr>
          <w:rFonts w:ascii="Times New Roman" w:hAnsi="Times New Roman" w:eastAsia="方正仿宋简体"/>
          <w:kern w:val="0"/>
          <w:sz w:val="32"/>
          <w:szCs w:val="32"/>
        </w:rPr>
      </w:pPr>
    </w:p>
    <w:p w14:paraId="138AA2F5">
      <w:pPr>
        <w:spacing w:line="570" w:lineRule="exact"/>
      </w:pPr>
      <w:r>
        <w:rPr>
          <w:rFonts w:ascii="Times New Roman" w:hAnsi="Times New Roman" w:eastAsia="方正仿宋简体"/>
          <w:kern w:val="0"/>
          <w:sz w:val="32"/>
          <w:szCs w:val="32"/>
        </w:rPr>
        <w:t>（此件主动公开）</w:t>
      </w:r>
    </w:p>
    <w:p w14:paraId="29A27934">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6B496F21">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海西三明生态工贸区管理委员会，区发改局、工信科技局、应急局，区消防大队，福建拓普技术咨询有限公司。</w:t>
      </w:r>
    </w:p>
    <w:p w14:paraId="21E75A43">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8</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6</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6AFD">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061E6EAA">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7A36">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133BBF40">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2B02">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666AA8"/>
    <w:rsid w:val="02986AC6"/>
    <w:rsid w:val="04411BD7"/>
    <w:rsid w:val="06D904AC"/>
    <w:rsid w:val="07496CCE"/>
    <w:rsid w:val="09DB3168"/>
    <w:rsid w:val="0A203CA8"/>
    <w:rsid w:val="10BC1D00"/>
    <w:rsid w:val="14A4387E"/>
    <w:rsid w:val="17D61DCB"/>
    <w:rsid w:val="1C7E1EE8"/>
    <w:rsid w:val="1CE633A0"/>
    <w:rsid w:val="1CFD6A44"/>
    <w:rsid w:val="1E326B8A"/>
    <w:rsid w:val="1F2604E0"/>
    <w:rsid w:val="237A6EBD"/>
    <w:rsid w:val="25DC74D4"/>
    <w:rsid w:val="27AC35F6"/>
    <w:rsid w:val="2C3E3E23"/>
    <w:rsid w:val="2D051137"/>
    <w:rsid w:val="2FBE7814"/>
    <w:rsid w:val="312C135B"/>
    <w:rsid w:val="33B9459B"/>
    <w:rsid w:val="34F34F5A"/>
    <w:rsid w:val="35002EE0"/>
    <w:rsid w:val="358B58CD"/>
    <w:rsid w:val="35BA3DFA"/>
    <w:rsid w:val="37C51025"/>
    <w:rsid w:val="3D576952"/>
    <w:rsid w:val="3F6D6119"/>
    <w:rsid w:val="444C2E64"/>
    <w:rsid w:val="48870818"/>
    <w:rsid w:val="49AB5A2E"/>
    <w:rsid w:val="4BD66201"/>
    <w:rsid w:val="4CCF20E6"/>
    <w:rsid w:val="4CDB00A4"/>
    <w:rsid w:val="4D723DEC"/>
    <w:rsid w:val="4FAE4DE6"/>
    <w:rsid w:val="50F70BD7"/>
    <w:rsid w:val="52FF52F8"/>
    <w:rsid w:val="54280B64"/>
    <w:rsid w:val="56CB4E21"/>
    <w:rsid w:val="571F3F93"/>
    <w:rsid w:val="5BBB3C0F"/>
    <w:rsid w:val="5BC13296"/>
    <w:rsid w:val="5BFC5C0E"/>
    <w:rsid w:val="5E0A37A4"/>
    <w:rsid w:val="5F294F51"/>
    <w:rsid w:val="6114089B"/>
    <w:rsid w:val="616477B5"/>
    <w:rsid w:val="640229B5"/>
    <w:rsid w:val="64DF556A"/>
    <w:rsid w:val="6662787B"/>
    <w:rsid w:val="68BA5301"/>
    <w:rsid w:val="68E325CC"/>
    <w:rsid w:val="69421289"/>
    <w:rsid w:val="6AC9386F"/>
    <w:rsid w:val="6AF05195"/>
    <w:rsid w:val="6B271D5A"/>
    <w:rsid w:val="6B9841AA"/>
    <w:rsid w:val="6C0031C7"/>
    <w:rsid w:val="6E8E1310"/>
    <w:rsid w:val="6EA85649"/>
    <w:rsid w:val="703D33CF"/>
    <w:rsid w:val="70855935"/>
    <w:rsid w:val="73462428"/>
    <w:rsid w:val="7436549D"/>
    <w:rsid w:val="75070127"/>
    <w:rsid w:val="77016F1E"/>
    <w:rsid w:val="78F44C22"/>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te Heading"/>
    <w:basedOn w:val="1"/>
    <w:next w:val="1"/>
    <w:qFormat/>
    <w:uiPriority w:val="0"/>
    <w:pPr>
      <w:jc w:val="center"/>
    </w:pPr>
  </w:style>
  <w:style w:type="paragraph" w:styleId="4">
    <w:name w:val="annotation text"/>
    <w:basedOn w:val="1"/>
    <w:link w:val="31"/>
    <w:semiHidden/>
    <w:qFormat/>
    <w:uiPriority w:val="99"/>
    <w:pPr>
      <w:jc w:val="left"/>
    </w:pPr>
  </w:style>
  <w:style w:type="paragraph" w:styleId="5">
    <w:name w:val="Body Text"/>
    <w:basedOn w:val="1"/>
    <w:next w:val="3"/>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5"/>
    <w:qFormat/>
    <w:uiPriority w:val="99"/>
    <w:pPr>
      <w:ind w:left="100" w:leftChars="2500"/>
    </w:pPr>
  </w:style>
  <w:style w:type="paragraph" w:styleId="8">
    <w:name w:val="Body Text Indent 2"/>
    <w:basedOn w:val="1"/>
    <w:link w:val="34"/>
    <w:qFormat/>
    <w:uiPriority w:val="99"/>
    <w:pPr>
      <w:spacing w:after="120" w:line="480" w:lineRule="auto"/>
      <w:ind w:left="420" w:leftChars="200"/>
    </w:pPr>
  </w:style>
  <w:style w:type="paragraph" w:styleId="9">
    <w:name w:val="Balloon Text"/>
    <w:basedOn w:val="1"/>
    <w:link w:val="33"/>
    <w:semiHidden/>
    <w:qFormat/>
    <w:uiPriority w:val="99"/>
    <w:rPr>
      <w:sz w:val="18"/>
      <w:szCs w:val="18"/>
    </w:rPr>
  </w:style>
  <w:style w:type="paragraph" w:styleId="10">
    <w:name w:val="footer"/>
    <w:basedOn w:val="1"/>
    <w:link w:val="30"/>
    <w:semiHidden/>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32"/>
    <w:semiHidden/>
    <w:qFormat/>
    <w:uiPriority w:val="99"/>
    <w:rPr>
      <w:b/>
      <w:bCs/>
    </w:rPr>
  </w:style>
  <w:style w:type="paragraph" w:styleId="14">
    <w:name w:val="Body Text First Indent"/>
    <w:basedOn w:val="5"/>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5"/>
    <w:semiHidden/>
    <w:qFormat/>
    <w:locked/>
    <w:uiPriority w:val="99"/>
    <w:rPr>
      <w:rFonts w:ascii="宋体" w:hAnsi="宋体" w:eastAsia="宋体" w:cs="宋体"/>
      <w:spacing w:val="48"/>
      <w:kern w:val="0"/>
      <w:sz w:val="24"/>
      <w:szCs w:val="24"/>
    </w:rPr>
  </w:style>
  <w:style w:type="character" w:customStyle="1" w:styleId="29">
    <w:name w:val="页眉 Char"/>
    <w:basedOn w:val="17"/>
    <w:link w:val="11"/>
    <w:semiHidden/>
    <w:qFormat/>
    <w:locked/>
    <w:uiPriority w:val="99"/>
    <w:rPr>
      <w:rFonts w:cs="Times New Roman"/>
      <w:kern w:val="2"/>
      <w:sz w:val="18"/>
      <w:szCs w:val="18"/>
    </w:rPr>
  </w:style>
  <w:style w:type="character" w:customStyle="1" w:styleId="30">
    <w:name w:val="页脚 Char"/>
    <w:basedOn w:val="17"/>
    <w:link w:val="10"/>
    <w:semiHidden/>
    <w:qFormat/>
    <w:locked/>
    <w:uiPriority w:val="99"/>
    <w:rPr>
      <w:rFonts w:cs="Times New Roman"/>
      <w:kern w:val="2"/>
      <w:sz w:val="18"/>
      <w:szCs w:val="18"/>
    </w:rPr>
  </w:style>
  <w:style w:type="character" w:customStyle="1" w:styleId="31">
    <w:name w:val="批注文字 Char"/>
    <w:basedOn w:val="17"/>
    <w:link w:val="4"/>
    <w:semiHidden/>
    <w:qFormat/>
    <w:locked/>
    <w:uiPriority w:val="99"/>
    <w:rPr>
      <w:rFonts w:cs="Times New Roman"/>
    </w:rPr>
  </w:style>
  <w:style w:type="character" w:customStyle="1" w:styleId="32">
    <w:name w:val="批注主题 Char"/>
    <w:basedOn w:val="31"/>
    <w:link w:val="13"/>
    <w:semiHidden/>
    <w:qFormat/>
    <w:locked/>
    <w:uiPriority w:val="99"/>
    <w:rPr>
      <w:b/>
      <w:bCs/>
    </w:rPr>
  </w:style>
  <w:style w:type="character" w:customStyle="1" w:styleId="33">
    <w:name w:val="批注框文本 Char"/>
    <w:basedOn w:val="17"/>
    <w:link w:val="9"/>
    <w:semiHidden/>
    <w:qFormat/>
    <w:locked/>
    <w:uiPriority w:val="99"/>
    <w:rPr>
      <w:rFonts w:cs="Times New Roman"/>
      <w:sz w:val="2"/>
    </w:rPr>
  </w:style>
  <w:style w:type="character" w:customStyle="1" w:styleId="34">
    <w:name w:val="正文文本缩进 2 Char"/>
    <w:basedOn w:val="17"/>
    <w:link w:val="8"/>
    <w:semiHidden/>
    <w:qFormat/>
    <w:locked/>
    <w:uiPriority w:val="99"/>
    <w:rPr>
      <w:rFonts w:cs="Times New Roman"/>
    </w:rPr>
  </w:style>
  <w:style w:type="character" w:customStyle="1" w:styleId="35">
    <w:name w:val="日期 Char"/>
    <w:basedOn w:val="17"/>
    <w:link w:val="7"/>
    <w:semiHidden/>
    <w:qFormat/>
    <w:locked/>
    <w:uiPriority w:val="99"/>
    <w:rPr>
      <w:rFonts w:cs="Times New Roman"/>
    </w:rPr>
  </w:style>
  <w:style w:type="character" w:customStyle="1" w:styleId="36">
    <w:name w:val="标题 1 Char"/>
    <w:basedOn w:val="17"/>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2370</Words>
  <Characters>2432</Characters>
  <Lines>11</Lines>
  <Paragraphs>3</Paragraphs>
  <TotalTime>0</TotalTime>
  <ScaleCrop>false</ScaleCrop>
  <LinksUpToDate>false</LinksUpToDate>
  <CharactersWithSpaces>2446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2024-01-16T01:07:00Z</cp:lastPrinted>
  <dcterms:modified xsi:type="dcterms:W3CDTF">2024-08-06T01:01:03Z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241D04FCA1F44FD98E8C60CA6F83ED87</vt:lpwstr>
  </property>
</Properties>
</file>