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2A97">
      <w:pPr>
        <w:rPr>
          <w:rFonts w:hint="eastAsia" w:eastAsia="仿宋_GB2312"/>
          <w:sz w:val="32"/>
        </w:rPr>
      </w:pPr>
    </w:p>
    <w:p w14:paraId="39BA1EBF">
      <w:pPr>
        <w:pStyle w:val="14"/>
        <w:ind w:firstLine="336"/>
      </w:pPr>
    </w:p>
    <w:p w14:paraId="325EA0E3">
      <w:pPr>
        <w:jc w:val="right"/>
        <w:rPr>
          <w:rFonts w:ascii="Times New Roman" w:hAnsi="Times New Roman" w:eastAsia="仿宋_GB2312"/>
          <w:sz w:val="32"/>
        </w:rPr>
      </w:pPr>
    </w:p>
    <w:p w14:paraId="6ABE1CB2"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 w14:paraId="4CB41E88"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5A547C31"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 w14:paraId="6A2488C6"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沙县青州涌溪金旭枕头壳厂金旭枕头壳生产项目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 w14:paraId="38E76C36"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20979D9F"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沙县青州涌溪金旭枕头壳厂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 w14:paraId="0FB6372E"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你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厂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沙县青州涌溪金旭枕头壳厂金旭枕头壳生产项目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和申请审批的函收悉。我局于2024年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日受理该报告表的审批申请，在沙县区人民政府门户网站对受理情况进行公开，并将报告表全本公示；于2024年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 w14:paraId="42E2398F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拟建项目选址于三明市沙县区青州化工产业集中区C片区 ，建设年产60万个塑料枕头壳生产线</w:t>
      </w:r>
      <w:r>
        <w:rPr>
          <w:rFonts w:ascii="Times New Roman" w:hAnsi="Times New Roman" w:eastAsia="方正仿宋简体"/>
          <w:sz w:val="32"/>
          <w:szCs w:val="32"/>
        </w:rPr>
        <w:t>。根据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评价结论，在全面落实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提出的各项污染防治措施的前提下，该项目建设对环境的不利影响能够得到缓解和控制。因此，在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</w:rPr>
        <w:t>你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厂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 w14:paraId="3498473D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和规划</w:t>
      </w:r>
      <w:r>
        <w:rPr>
          <w:rFonts w:hint="eastAsia" w:ascii="Times New Roman" w:hAnsi="Times New Roman" w:eastAsia="方正仿宋简体"/>
          <w:sz w:val="32"/>
          <w:szCs w:val="32"/>
        </w:rPr>
        <w:t>要求。</w:t>
      </w:r>
    </w:p>
    <w:p w14:paraId="5B15D981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在项目工程设计、建设和环境管理中，你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厂</w:t>
      </w:r>
      <w:r>
        <w:rPr>
          <w:rFonts w:hint="eastAsia" w:ascii="Times New Roman" w:hAnsi="Times New Roman" w:eastAsia="方正仿宋简体"/>
          <w:sz w:val="32"/>
          <w:szCs w:val="32"/>
        </w:rPr>
        <w:t>必须严格落实报告表提出的各项环保要求，确保其污染物达标排放、符合总量控制要求和不得对周边环境产生影响，并着重做好以下工作：</w:t>
      </w:r>
    </w:p>
    <w:p w14:paraId="208688EE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。本项目冷却水循环使用，无生产废水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外排；</w:t>
      </w:r>
      <w:r>
        <w:rPr>
          <w:rFonts w:hint="eastAsia" w:ascii="Times New Roman" w:hAnsi="Times New Roman" w:eastAsia="方正仿宋简体"/>
          <w:sz w:val="32"/>
          <w:szCs w:val="32"/>
        </w:rPr>
        <w:t>生活污水经化粪池处理后周边农户取走肥田，不外排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2D32D243">
      <w:pPr>
        <w:spacing w:line="57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㈡加强大气污染防治。注塑工序产生的废气经“集气罩+两级活性炭吸附”处理后通过15m高的排气筒排放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；本</w:t>
      </w:r>
      <w:r>
        <w:rPr>
          <w:rFonts w:hint="eastAsia" w:ascii="Times New Roman" w:hAnsi="Times New Roman" w:eastAsia="方正仿宋简体"/>
          <w:sz w:val="32"/>
          <w:szCs w:val="32"/>
        </w:rPr>
        <w:t>项目防护距离为50m，防护距离区域内不得有居民区、学校、医院等环境敏感目标。</w:t>
      </w:r>
    </w:p>
    <w:p w14:paraId="07575ED6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㈢加强噪声污染防治。</w:t>
      </w:r>
      <w:r>
        <w:rPr>
          <w:rFonts w:hint="eastAsia" w:ascii="Times New Roman" w:hAnsi="Times New Roman" w:eastAsia="方正仿宋简体"/>
          <w:sz w:val="32"/>
          <w:szCs w:val="32"/>
        </w:rPr>
        <w:t>应优先选用低噪声设备，合理布局，加强设备的日常维护管理，确保厂界噪声达标。</w:t>
      </w:r>
    </w:p>
    <w:p w14:paraId="467D1622">
      <w:pPr>
        <w:widowControl/>
        <w:spacing w:line="570" w:lineRule="exact"/>
        <w:ind w:firstLine="630"/>
        <w:rPr>
          <w:rFonts w:hint="eastAsia" w:ascii="仿宋_GB2312" w:hAnsi="仿宋_GB2312" w:eastAsia="仿宋_GB2312" w:cs="仿宋_GB2312"/>
          <w:spacing w:val="-12"/>
          <w:kern w:val="32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㈣加强固体废物污染防</w:t>
      </w:r>
      <w:r>
        <w:rPr>
          <w:rFonts w:hint="eastAsia" w:ascii="Times New Roman" w:hAnsi="Times New Roman" w:eastAsia="方正仿宋简体"/>
          <w:sz w:val="32"/>
          <w:szCs w:val="32"/>
        </w:rPr>
        <w:t>治。残次品及废边角料收集后破碎回用生产；废包装袋、废热转印基膜收集后综合利用；废活性炭收集后暂存危废贮存库，委托有资质的单位处置；生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活垃圾经收集后由环卫部门统一处理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0572BFFA"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 w14:paraId="7A4692E2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 w14:paraId="2B1D3DED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</w:t>
      </w:r>
      <w:r>
        <w:rPr>
          <w:rFonts w:hint="eastAsia" w:ascii="Times New Roman" w:hAnsi="Times New Roman" w:eastAsia="方正仿宋简体"/>
          <w:sz w:val="32"/>
          <w:szCs w:val="32"/>
        </w:rPr>
        <w:t>你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厂</w:t>
      </w:r>
      <w:r>
        <w:rPr>
          <w:rFonts w:hint="eastAsia" w:ascii="Times New Roman" w:hAnsi="Times New Roman" w:eastAsia="方正仿宋简体"/>
          <w:sz w:val="32"/>
          <w:szCs w:val="32"/>
        </w:rPr>
        <w:t>须</w:t>
      </w:r>
      <w:r>
        <w:rPr>
          <w:rFonts w:ascii="Times New Roman" w:hAnsi="Times New Roman" w:eastAsia="方正仿宋简体"/>
          <w:sz w:val="32"/>
          <w:szCs w:val="32"/>
        </w:rPr>
        <w:t>承担由此引起的一切后果。</w:t>
      </w:r>
    </w:p>
    <w:p w14:paraId="3F47E615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 w14:paraId="16D67D3D"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ascii="Times New Roman" w:hAnsi="Times New Roman" w:eastAsia="方正仿宋简体"/>
          <w:sz w:val="32"/>
          <w:szCs w:val="32"/>
        </w:rPr>
        <w:t>项目建设涉及其他必须审批的，应按相关规定报批后，方可动工建设。</w:t>
      </w:r>
    </w:p>
    <w:p w14:paraId="5360BF42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0279885A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3DC52898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71A57C14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 w14:paraId="6F931469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 w14:paraId="2835BE1F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412EB522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0311E6D9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17526D15"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 w14:paraId="092E34DC"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 w14:paraId="2BD8DE49"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三明市沙县区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青州镇人民政府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，区发改局、工信科技局、应急局，区消防大队，福建省思创环保科技有限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公司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。</w:t>
      </w:r>
    </w:p>
    <w:p w14:paraId="3F6DE843"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/>
        </w:rPr>
        <w:pict>
          <v:line id="_x0000_s1027" o:spid="_x0000_s1027" o:spt="20" style="position:absolute;left:0pt;margin-left:0pt;margin-top:39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28" o:spid="_x0000_s1028" o:spt="20" style="position:absolute;left:0pt;margin-left:0pt;margin-top:7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2024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30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553F4">
    <w:pPr>
      <w:pStyle w:val="10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- 1 -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 w14:paraId="04192F55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F4F9F"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 w14:paraId="03BC554C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AECC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462D99"/>
    <w:rsid w:val="004D1365"/>
    <w:rsid w:val="005D54F0"/>
    <w:rsid w:val="006429FA"/>
    <w:rsid w:val="006462ED"/>
    <w:rsid w:val="00660C3A"/>
    <w:rsid w:val="00706573"/>
    <w:rsid w:val="00720C81"/>
    <w:rsid w:val="008E4AD4"/>
    <w:rsid w:val="00A95B51"/>
    <w:rsid w:val="00B1451C"/>
    <w:rsid w:val="00FD00AC"/>
    <w:rsid w:val="014B7296"/>
    <w:rsid w:val="02986AC6"/>
    <w:rsid w:val="04411BD7"/>
    <w:rsid w:val="07496CCE"/>
    <w:rsid w:val="09DB3168"/>
    <w:rsid w:val="0A203CA8"/>
    <w:rsid w:val="10BC1D00"/>
    <w:rsid w:val="14A4387E"/>
    <w:rsid w:val="1A580641"/>
    <w:rsid w:val="1CE633A0"/>
    <w:rsid w:val="1CFD6A44"/>
    <w:rsid w:val="1F2604E0"/>
    <w:rsid w:val="237A6EBD"/>
    <w:rsid w:val="25DC74D4"/>
    <w:rsid w:val="2D051137"/>
    <w:rsid w:val="2FBE7814"/>
    <w:rsid w:val="33B9459B"/>
    <w:rsid w:val="34F34F5A"/>
    <w:rsid w:val="35002EE0"/>
    <w:rsid w:val="358B58CD"/>
    <w:rsid w:val="35BA3DFA"/>
    <w:rsid w:val="398A6189"/>
    <w:rsid w:val="3D576952"/>
    <w:rsid w:val="3F6D6119"/>
    <w:rsid w:val="444C2E64"/>
    <w:rsid w:val="49AB5A2E"/>
    <w:rsid w:val="4BD66201"/>
    <w:rsid w:val="4CCF20E6"/>
    <w:rsid w:val="4FAE4DE6"/>
    <w:rsid w:val="50F70BD7"/>
    <w:rsid w:val="52FF52F8"/>
    <w:rsid w:val="54280B64"/>
    <w:rsid w:val="571F3F93"/>
    <w:rsid w:val="5BC13296"/>
    <w:rsid w:val="5E0A37A4"/>
    <w:rsid w:val="6114089B"/>
    <w:rsid w:val="640229B5"/>
    <w:rsid w:val="6662787B"/>
    <w:rsid w:val="68E325CC"/>
    <w:rsid w:val="69421289"/>
    <w:rsid w:val="6AC9386F"/>
    <w:rsid w:val="6AF05195"/>
    <w:rsid w:val="6B9841AA"/>
    <w:rsid w:val="6E8E1310"/>
    <w:rsid w:val="6EA85649"/>
    <w:rsid w:val="703D33CF"/>
    <w:rsid w:val="73462428"/>
    <w:rsid w:val="7436549D"/>
    <w:rsid w:val="75070127"/>
    <w:rsid w:val="78F44C22"/>
    <w:rsid w:val="7DB0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annotation text"/>
    <w:basedOn w:val="1"/>
    <w:link w:val="31"/>
    <w:semiHidden/>
    <w:qFormat/>
    <w:uiPriority w:val="99"/>
    <w:pPr>
      <w:jc w:val="left"/>
    </w:pPr>
  </w:style>
  <w:style w:type="paragraph" w:styleId="5">
    <w:name w:val="Body Text"/>
    <w:basedOn w:val="1"/>
    <w:next w:val="3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6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7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8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4"/>
    <w:next w:val="4"/>
    <w:link w:val="32"/>
    <w:semiHidden/>
    <w:qFormat/>
    <w:uiPriority w:val="99"/>
    <w:rPr>
      <w:b/>
      <w:bCs/>
    </w:rPr>
  </w:style>
  <w:style w:type="paragraph" w:styleId="14">
    <w:name w:val="Body Text First Indent"/>
    <w:basedOn w:val="5"/>
    <w:next w:val="1"/>
    <w:autoRedefine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autoRedefine/>
    <w:qFormat/>
    <w:locked/>
    <w:uiPriority w:val="0"/>
    <w:rPr>
      <w:i/>
    </w:rPr>
  </w:style>
  <w:style w:type="character" w:styleId="20">
    <w:name w:val="annotation reference"/>
    <w:basedOn w:val="17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autoRedefine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autoRedefine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5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1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0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4"/>
    <w:autoRedefine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3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9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7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1351</Words>
  <Characters>1371</Characters>
  <Lines>11</Lines>
  <Paragraphs>3</Paragraphs>
  <TotalTime>5</TotalTime>
  <ScaleCrop>false</ScaleCrop>
  <LinksUpToDate>false</LinksUpToDate>
  <CharactersWithSpaces>1398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泥巴</cp:lastModifiedBy>
  <cp:lastPrinted>2024-06-28T08:23:00Z</cp:lastPrinted>
  <dcterms:modified xsi:type="dcterms:W3CDTF">2024-07-24T07:56:14Z</dcterms:modified>
  <dc:title>沙环函〔2014〕18号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241D04FCA1F44FD98E8C60CA6F83ED87</vt:lpwstr>
  </property>
</Properties>
</file>