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福建鑫祥源科技有限公司鑫祥源塑料颗粒生产项目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福建鑫祥源科技有限公司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福建鑫祥源科技有限公司鑫祥源塑料颗粒生产项目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拟建项目选址于福建省三明市沙县区高砂镇龙江村278号，拟建设8条废旧塑料加工生产线，年处理3.0万吨废旧塑料，产品为再生塑料颗粒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、国家产业政策和规划要求。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在项目工程设计、建设和环境管理中，你公司必须严格落实报告表和专家评审意见中提出的各项环保要求，确保其污染物达标排放、符合总量控制要求和不得对周边环境产生影响，并着重做好以下工作：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。项目生产废水和生活污水经处理后达标回用生产，不外排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项目挤出废气采用“文式管喷淋+除湿+UV光催化氧化+低温等离子体+活性炭吸附”处理后通过45m排气筒达标排放；水解酸化池和生物接触氧化池进行加盖密闭处理，污水处理废气经收集后采用“活性炭吸附装置”处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后通过</w:t>
      </w:r>
      <w:r>
        <w:rPr>
          <w:rFonts w:hint="eastAsia" w:ascii="Times New Roman" w:hAnsi="Times New Roman" w:eastAsia="方正仿宋简体"/>
          <w:sz w:val="32"/>
          <w:szCs w:val="32"/>
        </w:rPr>
        <w:t>15m排气筒达标排放；本项目防护距离为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/>
          <w:sz w:val="32"/>
          <w:szCs w:val="32"/>
        </w:rPr>
        <w:t>00m，防护距离区域内不得有居民区、学校、医院等环境敏感目标。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治。生活垃圾、栅渣由环卫部门清运；废滤网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清洗池底渣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污水处理污泥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分类收集</w:t>
      </w:r>
      <w:r>
        <w:rPr>
          <w:rFonts w:hint="eastAsia" w:ascii="Times New Roman" w:hAnsi="Times New Roman" w:eastAsia="方正仿宋简体"/>
          <w:sz w:val="32"/>
          <w:szCs w:val="32"/>
        </w:rPr>
        <w:t>综合利用；喷淋塔底泥随喷淋废水一同进入污水站中进行处理；废活性炭、废UV灯管、废润滑油暂存于危险废物贮存库，委托有资质单位定期清运处置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  <w:lang w:eastAsia="zh-CN"/>
        </w:rPr>
        <w:t>㈥根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据《三明市生态环境局关于印发授权各县（市）生态环境局开展行政许可具体工作方案（试行）的通知》（明环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33号）的要求，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新增的VOCs排放量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（包含苯乙烯）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为1.73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t/a，不属于豁免调剂范围，你公司于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2024年1月取得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挥发性有机物排放量调剂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你公司须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沙县区高砂镇人民政府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，区工信科技局、发改局、应急局，区消防大队，福州壹澜环保科技有限公司</w:t>
      </w:r>
      <w:r>
        <w:rPr>
          <w:rFonts w:ascii="Times New Roman" w:hAnsi="Times New Roman" w:eastAsia="方正仿宋简体"/>
          <w:kern w:val="0"/>
          <w:sz w:val="28"/>
          <w:szCs w:val="28"/>
        </w:rPr>
        <w:t>。</w:t>
      </w:r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- 3 -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D1365"/>
    <w:rsid w:val="006429FA"/>
    <w:rsid w:val="006462ED"/>
    <w:rsid w:val="00660C3A"/>
    <w:rsid w:val="00706573"/>
    <w:rsid w:val="00720C81"/>
    <w:rsid w:val="00A95B51"/>
    <w:rsid w:val="00B1451C"/>
    <w:rsid w:val="00FD00AC"/>
    <w:rsid w:val="014B7296"/>
    <w:rsid w:val="07496CCE"/>
    <w:rsid w:val="09DB3168"/>
    <w:rsid w:val="0A203CA8"/>
    <w:rsid w:val="10BC1D00"/>
    <w:rsid w:val="1CFD6A44"/>
    <w:rsid w:val="1F2604E0"/>
    <w:rsid w:val="237A6EBD"/>
    <w:rsid w:val="25DC74D4"/>
    <w:rsid w:val="2D051137"/>
    <w:rsid w:val="2FBE7814"/>
    <w:rsid w:val="33B9459B"/>
    <w:rsid w:val="35002EE0"/>
    <w:rsid w:val="358B58CD"/>
    <w:rsid w:val="35BA3DFA"/>
    <w:rsid w:val="444C2E64"/>
    <w:rsid w:val="4BD66201"/>
    <w:rsid w:val="50F70BD7"/>
    <w:rsid w:val="5BC13296"/>
    <w:rsid w:val="6114089B"/>
    <w:rsid w:val="640229B5"/>
    <w:rsid w:val="6662787B"/>
    <w:rsid w:val="68E325CC"/>
    <w:rsid w:val="6AC9386F"/>
    <w:rsid w:val="6AF05195"/>
    <w:rsid w:val="6B9841AA"/>
    <w:rsid w:val="6E8E1310"/>
    <w:rsid w:val="6EA85649"/>
    <w:rsid w:val="703D33CF"/>
    <w:rsid w:val="73462428"/>
    <w:rsid w:val="75070127"/>
    <w:rsid w:val="78F44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6">
    <w:name w:val="annotation text"/>
    <w:basedOn w:val="1"/>
    <w:link w:val="31"/>
    <w:semiHidden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8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9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6"/>
    <w:next w:val="6"/>
    <w:link w:val="32"/>
    <w:semiHidden/>
    <w:qFormat/>
    <w:uiPriority w:val="99"/>
    <w:rPr>
      <w:b/>
      <w:bCs/>
    </w:rPr>
  </w:style>
  <w:style w:type="paragraph" w:styleId="15">
    <w:name w:val="Body Text First Indent 2"/>
    <w:basedOn w:val="7"/>
    <w:next w:val="2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3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1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6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4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10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9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1186</Characters>
  <Lines>9</Lines>
  <Paragraphs>2</Paragraphs>
  <TotalTime>3</TotalTime>
  <ScaleCrop>false</ScaleCrop>
  <LinksUpToDate>false</LinksUpToDate>
  <CharactersWithSpaces>1391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Administrator</cp:lastModifiedBy>
  <cp:lastPrinted>2024-01-16T01:07:00Z</cp:lastPrinted>
  <dcterms:modified xsi:type="dcterms:W3CDTF">2024-04-08T00:37:59Z</dcterms:modified>
  <dc:title>沙环函〔2014〕18号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241D04FCA1F44FD98E8C60CA6F83ED87</vt:lpwstr>
  </property>
</Properties>
</file>