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沙县区零工市场运营服务绩效考评办法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为规范我区零工市场经营秩序，确保“零工市场”规范管理、长效运行，特制定如下运营服务业绩考评办法。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一、总体目标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通过开展“零工市场”的管理考核，强化对“零工市场”的日常监督，进一步规范“零工市场”建设管理行为，构建有序、便利、更具活力的灵活就业人力资源市场，为我区经济高质量发展提供人力资源支撑。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二、管理运行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沙县区“零工市场”由区人社局负责做好业务指导和监督，区财政局负责经费保障，具体运营由具备资质的第三方机构承担，确保“零工市场”规范长效运行，切实维护零工和用工主体的合法权益。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三、考核要点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零工市场运营服务管理考核项目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1.信息网络建设。信息系统主要功能有发包方岗位任务订单、接包方接任务订单、价格确认、雇主支付款项、双方签订电子合同（含保险）、工资结算 、数据存储反馈及统计分析、任务未完成协商及投诉等功能 。同时做好系统功能维护、数据库维护、平台技术维护、网络安全维护等服务。根据业务需要，增加或修改相应模块。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2.场地运营管理。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（1）有制定日常管理服务制度，相关规章制度、岗位职责等上墙制度，公布有关行政监督部门和投诉电话。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（2）场地的布置是否合理、清洁，有零工登记、用工等候、维权调解等区域。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（3）有办公设备、软件维护、网络、通讯等基础设施。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（4）场地是否有消毒设施，是否符合国家安全消防条件，配备消防设施。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（5）有配置3人以上专职工作人员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（6）是否有独立法人资质、营业执照、健全的服务能力，具备政策咨询、信息对接、技能培训等服务。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（7）零工和用工主体对运营服务的满意程度。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（8）场地内有无打架斗殴、敲诈勒索、强迫交易、虚假招聘、雇佣童工等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（9）严禁向零工和用工主体变相收取职业介绍费用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3.信息收集与发布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（1）个人信息收集情况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（2）交易笔数的完成情况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（3）岗位信息发布情况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（4）入库人员的数据、发布用工信息的真实性和及时性，是否存在虚假，拖延发布，信息有无及时更新。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4.直播开展情况。考核日常直播招聘、企业用工宣传或政策宣传等直播开展情况，是否按规定开展各类直播活动。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5.纠纷处理。考核日常纠纷处理进度、处理结果、双方满意程度。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6.平台推广。“零工市场”系统软件公众号关注程度。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四、拨付标准和方式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按照《沙县区零工市场建设试点方案》，沙县区“零工市场”的运营费用由区人社局开展绩效考核，并填写《沙县区零工市场运营绩效考核评分表》（附表）。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运营服务费按政府采购中标价及绩效考评结果予以拨付。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拨付方式：运营服务期满1个月后拨付合同金额的15%；运营服务期满3个月后，拨付中标价的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15%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；运营服务期满6个月后，拨付中标价的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0%；运营服务期满9个月后，拨付中标价的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20%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；服务期满12个月后按绩效考评等次拨付合同金额尾款。第二、三年的支付方式另行商议。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绩效考评方式及拨付标准：绩效考评设“优秀、良好、合格、较差”四个等次，分别按中标价扣除网络建设费的 100%、90%、80%、70%给予支付。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运营管理规范，成效突出，考核结果优秀（90分以上），拨付运营经费100%；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运营管理规范，成效明显，考核结果良好（80-89分），拨付运营经费90%；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运营管理较为规范，成效明显，考核结果合格（70-79分），拨付运营经费80%；并制定提升方案，进一步提升；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运营管理欠规范，考核结果较差（70分以下），拨付运营经费70%，终止服务协议。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五、监督检查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为营造安全、规范、有序的用工环境，区人社、民政、财政、住建、市场监管等部门结合工作职能，对零工市场运营管理等相关工作做好指导监督。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：沙县区零工市场运营绩效考核评分表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沙县区零工市场运营绩效考核评分表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05"/>
        <w:gridCol w:w="6247"/>
        <w:gridCol w:w="834"/>
        <w:gridCol w:w="724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项目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评分标准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标准分值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考核得分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运营服务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信息网络建设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信息系统主要功能有发包方岗位任务订单、接包方接任务订单、价格确认、雇主支付款项、双方签订电子合同（含保险）、工资结算 、数据存储反馈及统计分析、任务未完成协商及投诉等功能。根据业务需要，增加或修改相应模块。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系统功能维护、数据库维护、平台技术维护、网络安全维护。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场地运营管理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有制定日常管理服务制度，相关规章制度、岗位职责等上墙制度，公布有关行政监督部门和投诉电话。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场地的布置是否合理、清洁，有零工登记、用工等候、维权调解等区域。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有办公设备、软件维护、网络、通讯等基础设施。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场地是否有消毒设施，是否符合国家安全消防条件，配备消防设施。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有配置3人以上专职工作人员。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是否有独立法人资质、营业执照、健全的服务能力，具备政策咨询、信息对接、技能培训等服务。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零工和用工主体对运营服务的满意程度。（满意度90%以上得5分，满意度80-89%得4分，满意度70-79%得3分，满意度60-69%得2分,满意度60%以下不得分）。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场地内有无打架斗殴、敲诈勒索、强迫交易、虚假招聘、雇佣童工等(全年0案件得5分，1-5件得4分，5件以上不得分。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严禁向零工和用工主体变相收取职业介绍费用。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信息收集与发布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个人信息收集情况（1000条以下不得分，2000条以下得3分，2000-2500条得4分，2500条以上得5分）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岗位信息发布情况（1000条以下不得分，1500条以下得5分，1500-2000条得8分，2000条以上得10分）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交易笔数的完成情况（500条以下不得分，1000条以下得5分，1000-1500条得8分，1500条以上得10分）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入库人员的信息、发布用工信息的及时性和真实性，是否存在虚假，拖延发布，信息有无及时更新。（全年无虚假信息得5分，1-5条得4分，5-10条得3分，10条以上不得分)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直播情况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考核日常直播开展情况，每月开展各类直播活动1场以上，全年总计需达到12场。每少一场扣1分，扣完为止。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纠纷处理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考核日常纠纷处理进度、处理结果、双方满意程度。（全年15件以下纠纷得5分，15-20件纠纷得4分,20件以上纠纷得3分，25件以上纠纷不得分)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平台推广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“零工市场”系统软件公众号关注程度（1500人以下不得分，2000-3000人关注得5分，3000-4000人关注得8分，4000人以上关注得10分）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  <w:t>加分项目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利用平台开展企业用工服务，协助发布企业招工信息1次加0.1分，最高1分。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协调企业解决短期用工事宜。每协助企业解决短期用工一次加0.5分，最高不超过2分。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协调做好省际用工服务。开展一次以上加2分。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合计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100+5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</w:rPr>
            </w:pP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宋体" w:cs="Times New Roman"/>
          <w:bCs/>
          <w:color w:val="auto"/>
          <w:kern w:val="0"/>
          <w:sz w:val="22"/>
          <w:lang w:bidi="ar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2"/>
          <w:lang w:bidi="ar"/>
        </w:rPr>
        <w:t>备注：如遇上级相关部门制定考核标准或对相关指标有考核要求，经双方协商按上级要求进行相应调整。</w:t>
      </w:r>
    </w:p>
    <w:p>
      <w:pPr>
        <w:spacing w:line="52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i/>
          <w:iCs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i/>
          <w:iCs/>
          <w:color w:val="auto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6F7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2023-11-24T02:21:13Z</dcterms:created>
  <dc:creator>Administrator</dc:creator>
  <cp:lastModifiedBy>Administrator</cp:lastModifiedBy>
  <dcterms:modified xsi:type="dcterms:W3CDTF">2023-11-24T02:21:54Z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AC46594D39AF41109B65AA760414151F_12</vt:lpwstr>
  </property>
</Properties>
</file>