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F2A97">
      <w:pPr>
        <w:rPr>
          <w:rFonts w:hint="eastAsia" w:eastAsia="仿宋_GB2312"/>
          <w:sz w:val="32"/>
        </w:rPr>
      </w:pPr>
    </w:p>
    <w:p w14:paraId="39BA1EBF">
      <w:pPr>
        <w:pStyle w:val="14"/>
        <w:ind w:firstLine="336"/>
      </w:pPr>
    </w:p>
    <w:p w14:paraId="325EA0E3">
      <w:pPr>
        <w:jc w:val="right"/>
        <w:rPr>
          <w:rFonts w:ascii="Times New Roman" w:hAnsi="Times New Roman" w:eastAsia="仿宋_GB2312"/>
          <w:sz w:val="32"/>
        </w:rPr>
      </w:pPr>
    </w:p>
    <w:p w14:paraId="6ABE1CB2">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w:t>
      </w:r>
      <w:r>
        <w:rPr>
          <w:rFonts w:hint="eastAsia" w:ascii="Times New Roman" w:hAnsi="Times New Roman" w:eastAsia="方正仿宋简体"/>
          <w:kern w:val="0"/>
          <w:sz w:val="32"/>
          <w:szCs w:val="32"/>
          <w:lang w:val="en-US" w:eastAsia="zh-CN"/>
        </w:rPr>
        <w:t>5</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3</w:t>
      </w:r>
      <w:r>
        <w:rPr>
          <w:rFonts w:ascii="Times New Roman" w:hAnsi="Times New Roman" w:eastAsia="方正仿宋简体"/>
          <w:kern w:val="0"/>
          <w:sz w:val="32"/>
          <w:szCs w:val="32"/>
        </w:rPr>
        <w:t>号</w:t>
      </w:r>
    </w:p>
    <w:p w14:paraId="4CB41E88">
      <w:pPr>
        <w:spacing w:line="500" w:lineRule="exact"/>
        <w:rPr>
          <w:rFonts w:ascii="Times New Roman" w:hAnsi="Times New Roman" w:eastAsia="仿宋_GB2312"/>
          <w:kern w:val="0"/>
          <w:sz w:val="32"/>
          <w:szCs w:val="32"/>
        </w:rPr>
      </w:pPr>
    </w:p>
    <w:p w14:paraId="5A547C31">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14:paraId="6DC440DF">
      <w:pPr>
        <w:spacing w:line="700" w:lineRule="exact"/>
        <w:jc w:val="center"/>
        <w:rPr>
          <w:rFonts w:hint="eastAsia" w:ascii="Times New Roman" w:hAnsi="Times New Roman" w:eastAsia="方正小标宋简体"/>
          <w:kern w:val="0"/>
          <w:sz w:val="44"/>
          <w:szCs w:val="44"/>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rPr>
        <w:t>福建民祥化工新材料有限公司沙县民祥化工新材料有限公司碱减量白泥</w:t>
      </w:r>
      <w:bookmarkStart w:id="0" w:name="_GoBack"/>
      <w:bookmarkEnd w:id="0"/>
      <w:r>
        <w:rPr>
          <w:rFonts w:hint="eastAsia" w:ascii="Times New Roman" w:hAnsi="Times New Roman" w:eastAsia="方正小标宋简体"/>
          <w:kern w:val="0"/>
          <w:sz w:val="44"/>
          <w:szCs w:val="44"/>
        </w:rPr>
        <w:t>提纯项目</w:t>
      </w:r>
    </w:p>
    <w:p w14:paraId="6A2488C6">
      <w:pPr>
        <w:spacing w:line="700" w:lineRule="exact"/>
        <w:jc w:val="center"/>
        <w:rPr>
          <w:rFonts w:ascii="Times New Roman" w:hAnsi="Times New Roman" w:eastAsia="方正仿宋_GBK"/>
          <w:kern w:val="0"/>
          <w:sz w:val="32"/>
          <w:szCs w:val="32"/>
        </w:rPr>
      </w:pP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14:paraId="38E76C36">
      <w:pPr>
        <w:widowControl/>
        <w:spacing w:line="600" w:lineRule="exact"/>
        <w:rPr>
          <w:rFonts w:ascii="Times New Roman" w:hAnsi="Times New Roman" w:eastAsia="方正仿宋简体"/>
          <w:kern w:val="0"/>
          <w:sz w:val="32"/>
          <w:szCs w:val="32"/>
        </w:rPr>
      </w:pPr>
    </w:p>
    <w:p w14:paraId="20979D9F">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福建民祥化工新材料有限公司</w:t>
      </w:r>
      <w:r>
        <w:rPr>
          <w:rFonts w:ascii="Times New Roman" w:hAnsi="Times New Roman" w:eastAsia="方正仿宋简体"/>
          <w:kern w:val="0"/>
          <w:sz w:val="32"/>
          <w:szCs w:val="32"/>
        </w:rPr>
        <w:t>：</w:t>
      </w:r>
    </w:p>
    <w:p w14:paraId="0FB6372E">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你公司</w:t>
      </w:r>
      <w:r>
        <w:rPr>
          <w:rFonts w:hint="eastAsia" w:ascii="Times New Roman" w:hAnsi="Times New Roman" w:eastAsia="方正仿宋简体"/>
          <w:kern w:val="0"/>
          <w:sz w:val="32"/>
          <w:szCs w:val="32"/>
        </w:rPr>
        <w:t>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eastAsia="zh-CN"/>
        </w:rPr>
        <w:t>福建民祥化工新材料有限公司沙县民祥化工新材料有限公司碱减量白泥提纯项目</w:t>
      </w:r>
      <w:r>
        <w:rPr>
          <w:rFonts w:hint="eastAsia" w:ascii="Times New Roman" w:hAnsi="Times New Roman" w:eastAsia="方正仿宋简体"/>
          <w:kern w:val="0"/>
          <w:sz w:val="32"/>
          <w:szCs w:val="32"/>
        </w:rPr>
        <w:t>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w:t>
      </w:r>
      <w:r>
        <w:rPr>
          <w:rFonts w:hint="eastAsia" w:ascii="Times New Roman" w:hAnsi="Times New Roman" w:eastAsia="方正仿宋简体"/>
          <w:kern w:val="0"/>
          <w:sz w:val="32"/>
          <w:szCs w:val="32"/>
          <w:lang w:val="en-US" w:eastAsia="zh-CN"/>
        </w:rPr>
        <w:t>5</w:t>
      </w:r>
      <w:r>
        <w:rPr>
          <w:rFonts w:hint="eastAsia"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3</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31</w:t>
      </w:r>
      <w:r>
        <w:rPr>
          <w:rFonts w:hint="eastAsia" w:ascii="Times New Roman" w:hAnsi="Times New Roman" w:eastAsia="方正仿宋简体"/>
          <w:kern w:val="0"/>
          <w:sz w:val="32"/>
          <w:szCs w:val="32"/>
        </w:rPr>
        <w:t>日受理该报告表的审批申请，在沙县区人民政府门户网站对受理情况进行公开，并将报告表全本公示；于202</w:t>
      </w:r>
      <w:r>
        <w:rPr>
          <w:rFonts w:hint="eastAsia" w:ascii="Times New Roman" w:hAnsi="Times New Roman" w:eastAsia="方正仿宋简体"/>
          <w:kern w:val="0"/>
          <w:sz w:val="32"/>
          <w:szCs w:val="32"/>
          <w:lang w:val="en-US" w:eastAsia="zh-CN"/>
        </w:rPr>
        <w:t>5</w:t>
      </w:r>
      <w:r>
        <w:rPr>
          <w:rFonts w:hint="eastAsia"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4</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15</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14:paraId="42E2398F">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拟建项目选址于福建省三明市沙县青州镇涌溪村马铺街75号，租用福建巴汉夫科技股份有限公司厂房，建设碱减量白泥生产线2条，年提炼30000吨碱减量白泥</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lang w:eastAsia="zh-CN"/>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14:paraId="3498473D">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项目建设须符合《三明市国土空间总体规划（2021-2035年）》《三明市生态环境局关于发布三明市2023年生态环境分区管控动态更新成果的通知》（明环规〔2024〕2号）、国家产业政策</w:t>
      </w:r>
      <w:r>
        <w:rPr>
          <w:rFonts w:hint="eastAsia" w:ascii="Times New Roman" w:hAnsi="Times New Roman" w:eastAsia="方正仿宋简体"/>
          <w:sz w:val="32"/>
          <w:szCs w:val="32"/>
          <w:lang w:eastAsia="zh-CN"/>
        </w:rPr>
        <w:t>和规划</w:t>
      </w:r>
      <w:r>
        <w:rPr>
          <w:rFonts w:hint="eastAsia" w:ascii="Times New Roman" w:hAnsi="Times New Roman" w:eastAsia="方正仿宋简体"/>
          <w:sz w:val="32"/>
          <w:szCs w:val="32"/>
        </w:rPr>
        <w:t>要求。</w:t>
      </w:r>
    </w:p>
    <w:p w14:paraId="5B15D981">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w:t>
      </w:r>
      <w:r>
        <w:rPr>
          <w:rFonts w:hint="eastAsia" w:ascii="Times New Roman" w:hAnsi="Times New Roman" w:eastAsia="方正仿宋简体"/>
          <w:sz w:val="32"/>
          <w:szCs w:val="32"/>
          <w:lang w:eastAsia="zh-CN"/>
        </w:rPr>
        <w:t>你公司</w:t>
      </w:r>
      <w:r>
        <w:rPr>
          <w:rFonts w:hint="eastAsia" w:ascii="Times New Roman" w:hAnsi="Times New Roman" w:eastAsia="方正仿宋简体"/>
          <w:sz w:val="32"/>
          <w:szCs w:val="32"/>
        </w:rPr>
        <w:t>必须严格落实报告表</w:t>
      </w:r>
      <w:r>
        <w:rPr>
          <w:rFonts w:hint="eastAsia" w:ascii="Times New Roman" w:hAnsi="Times New Roman" w:eastAsia="方正仿宋简体"/>
          <w:sz w:val="32"/>
          <w:szCs w:val="32"/>
          <w:lang w:eastAsia="zh-CN"/>
        </w:rPr>
        <w:t>和</w:t>
      </w:r>
      <w:r>
        <w:rPr>
          <w:rFonts w:hint="eastAsia" w:ascii="Times New Roman" w:hAnsi="Times New Roman" w:eastAsia="方正仿宋简体"/>
          <w:sz w:val="32"/>
          <w:szCs w:val="32"/>
        </w:rPr>
        <w:t>专家评审意见中提出的各项环保要求，确保其污染物达标排放、符合总量控制要求和不得对周边环境产生影响，并着重做好以下工作：</w:t>
      </w:r>
    </w:p>
    <w:p w14:paraId="208688EE">
      <w:pPr>
        <w:spacing w:line="570" w:lineRule="exact"/>
        <w:ind w:firstLine="640"/>
        <w:rPr>
          <w:rFonts w:hint="eastAsia" w:ascii="Times New Roman" w:hAnsi="Times New Roman" w:eastAsia="方正仿宋简体"/>
          <w:sz w:val="32"/>
          <w:szCs w:val="32"/>
          <w:lang w:eastAsia="zh-CN"/>
        </w:rPr>
      </w:pPr>
      <w:r>
        <w:rPr>
          <w:rFonts w:hint="eastAsia" w:ascii="Times New Roman" w:hAnsi="Times New Roman" w:eastAsia="方正仿宋简体"/>
          <w:sz w:val="32"/>
          <w:szCs w:val="32"/>
        </w:rPr>
        <w:t>㈠</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。生活污水</w:t>
      </w:r>
      <w:r>
        <w:rPr>
          <w:rFonts w:hint="eastAsia" w:ascii="Times New Roman" w:hAnsi="Times New Roman" w:eastAsia="方正仿宋简体"/>
          <w:sz w:val="32"/>
          <w:szCs w:val="32"/>
          <w:lang w:eastAsia="zh-CN"/>
        </w:rPr>
        <w:t>经</w:t>
      </w:r>
      <w:r>
        <w:rPr>
          <w:rFonts w:hint="eastAsia" w:ascii="Times New Roman" w:hAnsi="Times New Roman" w:eastAsia="方正仿宋简体"/>
          <w:sz w:val="32"/>
          <w:szCs w:val="32"/>
        </w:rPr>
        <w:t>化粪池预处理后</w:t>
      </w:r>
      <w:r>
        <w:rPr>
          <w:rFonts w:hint="eastAsia" w:ascii="Times New Roman" w:hAnsi="Times New Roman" w:eastAsia="方正仿宋简体"/>
          <w:sz w:val="32"/>
          <w:szCs w:val="32"/>
          <w:lang w:eastAsia="zh-CN"/>
        </w:rPr>
        <w:t>通过</w:t>
      </w:r>
      <w:r>
        <w:rPr>
          <w:rFonts w:hint="eastAsia" w:ascii="Times New Roman" w:hAnsi="Times New Roman" w:eastAsia="方正仿宋简体"/>
          <w:sz w:val="32"/>
          <w:szCs w:val="32"/>
        </w:rPr>
        <w:t>园区污水管网进入园区污水处理</w:t>
      </w:r>
      <w:r>
        <w:rPr>
          <w:rFonts w:hint="eastAsia" w:ascii="Times New Roman" w:hAnsi="Times New Roman" w:eastAsia="方正仿宋简体"/>
          <w:sz w:val="32"/>
          <w:szCs w:val="32"/>
          <w:lang w:eastAsia="zh-CN"/>
        </w:rPr>
        <w:t>厂处理；生产废水经厂内污水处理设施预处理后通过园区污水管网进入园区污水处理厂处理。</w:t>
      </w:r>
    </w:p>
    <w:p w14:paraId="2D32D243">
      <w:pPr>
        <w:spacing w:line="57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㈡加强大气污染防治。200m</w:t>
      </w:r>
      <w:r>
        <w:rPr>
          <w:rFonts w:hint="eastAsia" w:ascii="Times New Roman" w:hAnsi="Times New Roman" w:eastAsia="方正仿宋简体"/>
          <w:sz w:val="32"/>
          <w:szCs w:val="32"/>
          <w:vertAlign w:val="superscript"/>
        </w:rPr>
        <w:t>2</w:t>
      </w:r>
      <w:r>
        <w:rPr>
          <w:rFonts w:hint="eastAsia" w:ascii="Times New Roman" w:hAnsi="Times New Roman" w:eastAsia="方正仿宋简体"/>
          <w:sz w:val="32"/>
          <w:szCs w:val="32"/>
        </w:rPr>
        <w:t>浆叶烘干机废气采用“水喷淋除尘器+15m排气筒”处理</w:t>
      </w:r>
      <w:r>
        <w:rPr>
          <w:rFonts w:hint="eastAsia" w:ascii="Times New Roman" w:hAnsi="Times New Roman" w:eastAsia="方正仿宋简体"/>
          <w:sz w:val="32"/>
          <w:szCs w:val="32"/>
          <w:lang w:eastAsia="zh-CN"/>
        </w:rPr>
        <w:t>达标</w:t>
      </w:r>
      <w:r>
        <w:rPr>
          <w:rFonts w:hint="eastAsia" w:ascii="Times New Roman" w:hAnsi="Times New Roman" w:eastAsia="方正仿宋简体"/>
          <w:sz w:val="32"/>
          <w:szCs w:val="32"/>
        </w:rPr>
        <w:t>排放</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60m</w:t>
      </w:r>
      <w:r>
        <w:rPr>
          <w:rFonts w:hint="eastAsia" w:ascii="Times New Roman" w:hAnsi="Times New Roman" w:eastAsia="方正仿宋简体"/>
          <w:sz w:val="32"/>
          <w:szCs w:val="32"/>
          <w:vertAlign w:val="superscript"/>
        </w:rPr>
        <w:t>2</w:t>
      </w:r>
      <w:r>
        <w:rPr>
          <w:rFonts w:hint="eastAsia" w:ascii="Times New Roman" w:hAnsi="Times New Roman" w:eastAsia="方正仿宋简体"/>
          <w:sz w:val="32"/>
          <w:szCs w:val="32"/>
        </w:rPr>
        <w:t>浆叶烘干机废气采用“旋风除尘器+15m排气筒”处理</w:t>
      </w:r>
      <w:r>
        <w:rPr>
          <w:rFonts w:hint="eastAsia" w:ascii="Times New Roman" w:hAnsi="Times New Roman" w:eastAsia="方正仿宋简体"/>
          <w:sz w:val="32"/>
          <w:szCs w:val="32"/>
          <w:lang w:eastAsia="zh-CN"/>
        </w:rPr>
        <w:t>达标</w:t>
      </w:r>
      <w:r>
        <w:rPr>
          <w:rFonts w:hint="eastAsia" w:ascii="Times New Roman" w:hAnsi="Times New Roman" w:eastAsia="方正仿宋简体"/>
          <w:sz w:val="32"/>
          <w:szCs w:val="32"/>
        </w:rPr>
        <w:t>排放</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项目防护距离为</w:t>
      </w:r>
      <w:r>
        <w:rPr>
          <w:rFonts w:hint="eastAsia" w:ascii="Times New Roman" w:hAnsi="Times New Roman" w:eastAsia="方正仿宋简体"/>
          <w:sz w:val="32"/>
          <w:szCs w:val="32"/>
          <w:lang w:val="en-US" w:eastAsia="zh-CN"/>
        </w:rPr>
        <w:t>10</w:t>
      </w:r>
      <w:r>
        <w:rPr>
          <w:rFonts w:hint="eastAsia" w:ascii="Times New Roman" w:hAnsi="Times New Roman" w:eastAsia="方正仿宋简体"/>
          <w:sz w:val="32"/>
          <w:szCs w:val="32"/>
        </w:rPr>
        <w:t>0m，防护距离区域内不得有居民区、学校、医院等环境敏感目标。</w:t>
      </w:r>
    </w:p>
    <w:p w14:paraId="155F3D0A">
      <w:pPr>
        <w:widowControl/>
        <w:spacing w:line="570" w:lineRule="exact"/>
        <w:ind w:firstLine="630"/>
        <w:rPr>
          <w:rFonts w:hint="eastAsia" w:ascii="Times New Roman" w:hAnsi="Times New Roman" w:eastAsia="方正仿宋简体"/>
          <w:sz w:val="32"/>
          <w:szCs w:val="32"/>
        </w:rPr>
      </w:pPr>
      <w:r>
        <w:rPr>
          <w:rFonts w:ascii="Times New Roman" w:hAnsi="Times New Roman" w:eastAsia="方正仿宋简体"/>
          <w:sz w:val="32"/>
          <w:szCs w:val="32"/>
        </w:rPr>
        <w:t>㈢加强噪声污染防治。</w:t>
      </w:r>
      <w:r>
        <w:rPr>
          <w:rFonts w:hint="eastAsia" w:ascii="Times New Roman" w:hAnsi="Times New Roman" w:eastAsia="方正仿宋简体"/>
          <w:sz w:val="32"/>
          <w:szCs w:val="32"/>
        </w:rPr>
        <w:t>应优先选用低噪声设备，合理布局，加强设备的日常维护管理，确保厂界噪声达标。</w:t>
      </w:r>
    </w:p>
    <w:p w14:paraId="467D1622">
      <w:pPr>
        <w:widowControl/>
        <w:spacing w:line="570" w:lineRule="exact"/>
        <w:ind w:firstLine="630"/>
        <w:rPr>
          <w:rFonts w:hint="eastAsia" w:ascii="仿宋_GB2312" w:hAnsi="仿宋_GB2312" w:eastAsia="仿宋_GB2312" w:cs="仿宋_GB2312"/>
          <w:spacing w:val="-12"/>
          <w:kern w:val="32"/>
          <w:sz w:val="32"/>
          <w:szCs w:val="32"/>
        </w:rPr>
      </w:pPr>
      <w:r>
        <w:rPr>
          <w:rFonts w:ascii="Times New Roman" w:hAnsi="Times New Roman" w:eastAsia="方正仿宋简体"/>
          <w:sz w:val="32"/>
          <w:szCs w:val="32"/>
        </w:rPr>
        <w:t>㈣加强固体废物污染防</w:t>
      </w:r>
      <w:r>
        <w:rPr>
          <w:rFonts w:hint="eastAsia" w:ascii="Times New Roman" w:hAnsi="Times New Roman" w:eastAsia="方正仿宋简体"/>
          <w:sz w:val="32"/>
          <w:szCs w:val="32"/>
        </w:rPr>
        <w:t>治。生活垃圾由环卫部门统一清运；项目产生的污水处理站污泥，定期清运</w:t>
      </w:r>
      <w:r>
        <w:rPr>
          <w:rFonts w:hint="eastAsia" w:ascii="Times New Roman" w:hAnsi="Times New Roman" w:eastAsia="方正仿宋简体"/>
          <w:sz w:val="32"/>
          <w:szCs w:val="32"/>
          <w:lang w:eastAsia="zh-CN"/>
        </w:rPr>
        <w:t>合理处置</w:t>
      </w:r>
      <w:r>
        <w:rPr>
          <w:rFonts w:hint="eastAsia" w:ascii="Times New Roman" w:hAnsi="Times New Roman" w:eastAsia="方正仿宋简体"/>
          <w:sz w:val="32"/>
          <w:szCs w:val="32"/>
        </w:rPr>
        <w:t>；设备维护保养产生的废机油按危险废物进行收集、贮存、运输、处置，委托有资质单位收集处理。</w:t>
      </w:r>
    </w:p>
    <w:p w14:paraId="0572BFFA">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14:paraId="7A4692E2">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14:paraId="3F47E615">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14:paraId="169F596B">
      <w:pPr>
        <w:widowControl/>
        <w:spacing w:line="570" w:lineRule="exact"/>
        <w:rPr>
          <w:rFonts w:ascii="Times New Roman" w:hAnsi="Times New Roman" w:eastAsia="方正仿宋简体"/>
          <w:kern w:val="0"/>
          <w:sz w:val="32"/>
          <w:szCs w:val="32"/>
        </w:rPr>
      </w:pPr>
    </w:p>
    <w:p w14:paraId="5040A76D">
      <w:pPr>
        <w:widowControl/>
        <w:spacing w:line="570" w:lineRule="exact"/>
        <w:ind w:firstLine="4640" w:firstLineChars="1450"/>
        <w:rPr>
          <w:rFonts w:ascii="Times New Roman" w:hAnsi="Times New Roman" w:eastAsia="方正仿宋简体"/>
          <w:kern w:val="0"/>
          <w:sz w:val="32"/>
          <w:szCs w:val="32"/>
        </w:rPr>
      </w:pPr>
    </w:p>
    <w:p w14:paraId="71A57C14">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14:paraId="0311E6D9">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w:t>
      </w:r>
      <w:r>
        <w:rPr>
          <w:rFonts w:hint="eastAsia" w:ascii="Times New Roman" w:hAnsi="Times New Roman" w:eastAsia="方正仿宋简体"/>
          <w:kern w:val="0"/>
          <w:sz w:val="32"/>
          <w:szCs w:val="32"/>
          <w:lang w:val="en-US" w:eastAsia="zh-CN"/>
        </w:rPr>
        <w:t>5</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4</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22</w:t>
      </w:r>
      <w:r>
        <w:rPr>
          <w:rFonts w:ascii="Times New Roman" w:hAnsi="Times New Roman" w:eastAsia="方正仿宋简体"/>
          <w:kern w:val="0"/>
          <w:sz w:val="32"/>
          <w:szCs w:val="32"/>
        </w:rPr>
        <w:t>日</w:t>
      </w:r>
    </w:p>
    <w:p w14:paraId="0F9B107E">
      <w:pPr>
        <w:spacing w:line="570" w:lineRule="exact"/>
        <w:rPr>
          <w:rFonts w:ascii="Times New Roman" w:hAnsi="Times New Roman" w:eastAsia="方正仿宋简体"/>
          <w:kern w:val="0"/>
          <w:sz w:val="32"/>
          <w:szCs w:val="32"/>
        </w:rPr>
      </w:pPr>
    </w:p>
    <w:p w14:paraId="37C5E0AE">
      <w:pPr>
        <w:spacing w:line="570" w:lineRule="exact"/>
        <w:rPr>
          <w:rFonts w:ascii="Times New Roman" w:hAnsi="Times New Roman" w:eastAsia="方正仿宋简体"/>
          <w:kern w:val="0"/>
          <w:sz w:val="32"/>
          <w:szCs w:val="32"/>
        </w:rPr>
      </w:pPr>
    </w:p>
    <w:p w14:paraId="17526D15">
      <w:pPr>
        <w:spacing w:line="570" w:lineRule="exact"/>
      </w:pPr>
      <w:r>
        <w:rPr>
          <w:rFonts w:ascii="Times New Roman" w:hAnsi="Times New Roman" w:eastAsia="方正仿宋简体"/>
          <w:kern w:val="0"/>
          <w:sz w:val="32"/>
          <w:szCs w:val="32"/>
        </w:rPr>
        <w:t>（此件主动公开）</w:t>
      </w:r>
    </w:p>
    <w:p w14:paraId="092E34DC">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o:preferrelative="t" coordsize="21600,21600">
            <v:path arrowok="t"/>
            <v:fill focussize="0,0"/>
            <v:stroke miterlimit="2"/>
            <v:imagedata o:title=""/>
            <o:lock v:ext="edit"/>
          </v:line>
        </w:pict>
      </w:r>
    </w:p>
    <w:p w14:paraId="2BD8DE49">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lang w:eastAsia="zh-CN"/>
        </w:rPr>
        <w:t>区南部工业经济服务中心</w:t>
      </w:r>
      <w:r>
        <w:rPr>
          <w:rFonts w:hint="eastAsia" w:ascii="Times New Roman" w:hAnsi="Times New Roman" w:eastAsia="方正仿宋简体"/>
          <w:kern w:val="0"/>
          <w:sz w:val="28"/>
          <w:szCs w:val="28"/>
        </w:rPr>
        <w:t>，区发改局、工信科技局、应急局，区消防大队，福建省盛钦辉环保科技有限公司。</w:t>
      </w:r>
    </w:p>
    <w:p w14:paraId="3F6DE843">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2025年</w:t>
      </w:r>
      <w:r>
        <w:rPr>
          <w:rFonts w:hint="eastAsia" w:ascii="Times New Roman" w:hAnsi="Times New Roman" w:eastAsia="方正仿宋简体"/>
          <w:kern w:val="0"/>
          <w:sz w:val="28"/>
          <w:szCs w:val="28"/>
          <w:lang w:val="en-US" w:eastAsia="zh-CN"/>
        </w:rPr>
        <w:t>4</w:t>
      </w:r>
      <w:r>
        <w:rPr>
          <w:rFonts w:hint="eastAsia" w:ascii="Times New Roman" w:hAnsi="Times New Roman" w:eastAsia="方正仿宋简体"/>
          <w:kern w:val="0"/>
          <w:sz w:val="28"/>
          <w:szCs w:val="28"/>
        </w:rPr>
        <w:t>月</w:t>
      </w:r>
      <w:r>
        <w:rPr>
          <w:rFonts w:hint="eastAsia" w:ascii="Times New Roman" w:hAnsi="Times New Roman" w:eastAsia="方正仿宋简体"/>
          <w:kern w:val="0"/>
          <w:sz w:val="28"/>
          <w:szCs w:val="28"/>
          <w:lang w:val="en-US" w:eastAsia="zh-CN"/>
        </w:rPr>
        <w:t>22</w:t>
      </w:r>
      <w:r>
        <w:rPr>
          <w:rFonts w:hint="eastAsia" w:ascii="Times New Roman" w:hAnsi="Times New Roman" w:eastAsia="方正仿宋简体"/>
          <w:kern w:val="0"/>
          <w:sz w:val="28"/>
          <w:szCs w:val="28"/>
        </w:rPr>
        <w:t>日</w:t>
      </w:r>
      <w:r>
        <w:rPr>
          <w:rFonts w:ascii="Times New Roman" w:hAnsi="Times New Roman" w:eastAsia="方正仿宋简体"/>
          <w:kern w:val="0"/>
          <w:sz w:val="28"/>
          <w:szCs w:val="28"/>
        </w:rPr>
        <w:t>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53F4">
    <w:pPr>
      <w:pStyle w:val="10"/>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- 1 -</w:t>
    </w:r>
    <w:r>
      <w:rPr>
        <w:rStyle w:val="18"/>
        <w:rFonts w:ascii="方正仿宋简体" w:eastAsia="方正仿宋简体"/>
        <w:sz w:val="28"/>
        <w:szCs w:val="28"/>
      </w:rPr>
      <w:fldChar w:fldCharType="end"/>
    </w:r>
  </w:p>
  <w:p w14:paraId="04192F55">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4F9F">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14:paraId="03BC554C">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AECC">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462D99"/>
    <w:rsid w:val="004D1365"/>
    <w:rsid w:val="005D54F0"/>
    <w:rsid w:val="006429FA"/>
    <w:rsid w:val="006462ED"/>
    <w:rsid w:val="00660C3A"/>
    <w:rsid w:val="00706573"/>
    <w:rsid w:val="00720C81"/>
    <w:rsid w:val="008E4AD4"/>
    <w:rsid w:val="00A95B51"/>
    <w:rsid w:val="00B1451C"/>
    <w:rsid w:val="00FD00AC"/>
    <w:rsid w:val="014B7296"/>
    <w:rsid w:val="02986AC6"/>
    <w:rsid w:val="04411BD7"/>
    <w:rsid w:val="059C6826"/>
    <w:rsid w:val="07496CCE"/>
    <w:rsid w:val="08C478EE"/>
    <w:rsid w:val="09DB3168"/>
    <w:rsid w:val="0A203CA8"/>
    <w:rsid w:val="0D956115"/>
    <w:rsid w:val="0DD674ED"/>
    <w:rsid w:val="10BC1D00"/>
    <w:rsid w:val="14A4387E"/>
    <w:rsid w:val="155248DD"/>
    <w:rsid w:val="1A580641"/>
    <w:rsid w:val="1BDA67F4"/>
    <w:rsid w:val="1CE633A0"/>
    <w:rsid w:val="1CFD6A44"/>
    <w:rsid w:val="1F2604E0"/>
    <w:rsid w:val="1F8100F4"/>
    <w:rsid w:val="202270D5"/>
    <w:rsid w:val="237A6EBD"/>
    <w:rsid w:val="24DC7127"/>
    <w:rsid w:val="25DC74D4"/>
    <w:rsid w:val="2D051137"/>
    <w:rsid w:val="2FBE7814"/>
    <w:rsid w:val="33B9459B"/>
    <w:rsid w:val="34F34F5A"/>
    <w:rsid w:val="35002EE0"/>
    <w:rsid w:val="358B58CD"/>
    <w:rsid w:val="35BA3DFA"/>
    <w:rsid w:val="37BE1F7B"/>
    <w:rsid w:val="398A6189"/>
    <w:rsid w:val="3B336BD2"/>
    <w:rsid w:val="3D576952"/>
    <w:rsid w:val="3F124C2C"/>
    <w:rsid w:val="3F6D6119"/>
    <w:rsid w:val="40BE52B1"/>
    <w:rsid w:val="444C2E64"/>
    <w:rsid w:val="45132AAF"/>
    <w:rsid w:val="47FA3FC4"/>
    <w:rsid w:val="49AB5A2E"/>
    <w:rsid w:val="4BD66201"/>
    <w:rsid w:val="4CCF20E6"/>
    <w:rsid w:val="4FAE4DE6"/>
    <w:rsid w:val="50F70BD7"/>
    <w:rsid w:val="52FF52F8"/>
    <w:rsid w:val="54280B64"/>
    <w:rsid w:val="54FB75FB"/>
    <w:rsid w:val="571F3F93"/>
    <w:rsid w:val="575B008C"/>
    <w:rsid w:val="5BC13296"/>
    <w:rsid w:val="5E0A37A4"/>
    <w:rsid w:val="5FAA42E4"/>
    <w:rsid w:val="6114089B"/>
    <w:rsid w:val="640229B5"/>
    <w:rsid w:val="6662787B"/>
    <w:rsid w:val="68E325CC"/>
    <w:rsid w:val="69421289"/>
    <w:rsid w:val="6AC9386F"/>
    <w:rsid w:val="6AF05195"/>
    <w:rsid w:val="6B9841AA"/>
    <w:rsid w:val="6DFE693E"/>
    <w:rsid w:val="6E1108C0"/>
    <w:rsid w:val="6E8E1310"/>
    <w:rsid w:val="6EA85649"/>
    <w:rsid w:val="703D33CF"/>
    <w:rsid w:val="73462428"/>
    <w:rsid w:val="7436549D"/>
    <w:rsid w:val="75070127"/>
    <w:rsid w:val="78F44C22"/>
    <w:rsid w:val="7AC45CD4"/>
    <w:rsid w:val="7B4546B7"/>
    <w:rsid w:val="7DB03D5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te Heading"/>
    <w:basedOn w:val="1"/>
    <w:next w:val="1"/>
    <w:qFormat/>
    <w:uiPriority w:val="0"/>
    <w:pPr>
      <w:jc w:val="center"/>
    </w:pPr>
  </w:style>
  <w:style w:type="paragraph" w:styleId="4">
    <w:name w:val="annotation text"/>
    <w:basedOn w:val="1"/>
    <w:link w:val="31"/>
    <w:semiHidden/>
    <w:qFormat/>
    <w:uiPriority w:val="99"/>
    <w:pPr>
      <w:jc w:val="left"/>
    </w:pPr>
  </w:style>
  <w:style w:type="paragraph" w:styleId="5">
    <w:name w:val="Body Text"/>
    <w:basedOn w:val="1"/>
    <w:next w:val="3"/>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6">
    <w:name w:val="Body Text Indent"/>
    <w:basedOn w:val="1"/>
    <w:qFormat/>
    <w:uiPriority w:val="0"/>
    <w:pPr>
      <w:snapToGrid w:val="0"/>
      <w:spacing w:line="560" w:lineRule="exact"/>
      <w:ind w:firstLine="600"/>
    </w:pPr>
    <w:rPr>
      <w:rFonts w:ascii="宋体" w:hAnsi="宋体"/>
      <w:color w:val="000000"/>
      <w:sz w:val="30"/>
    </w:rPr>
  </w:style>
  <w:style w:type="paragraph" w:styleId="7">
    <w:name w:val="Date"/>
    <w:basedOn w:val="1"/>
    <w:next w:val="1"/>
    <w:link w:val="35"/>
    <w:qFormat/>
    <w:uiPriority w:val="99"/>
    <w:pPr>
      <w:ind w:left="100" w:leftChars="2500"/>
    </w:pPr>
  </w:style>
  <w:style w:type="paragraph" w:styleId="8">
    <w:name w:val="Body Text Indent 2"/>
    <w:basedOn w:val="1"/>
    <w:link w:val="34"/>
    <w:qFormat/>
    <w:uiPriority w:val="99"/>
    <w:pPr>
      <w:spacing w:after="120" w:line="480" w:lineRule="auto"/>
      <w:ind w:left="420" w:leftChars="200"/>
    </w:pPr>
  </w:style>
  <w:style w:type="paragraph" w:styleId="9">
    <w:name w:val="Balloon Text"/>
    <w:basedOn w:val="1"/>
    <w:link w:val="33"/>
    <w:semiHidden/>
    <w:qFormat/>
    <w:uiPriority w:val="99"/>
    <w:rPr>
      <w:sz w:val="18"/>
      <w:szCs w:val="18"/>
    </w:rPr>
  </w:style>
  <w:style w:type="paragraph" w:styleId="10">
    <w:name w:val="footer"/>
    <w:basedOn w:val="1"/>
    <w:link w:val="30"/>
    <w:semiHidden/>
    <w:qFormat/>
    <w:uiPriority w:val="99"/>
    <w:pPr>
      <w:tabs>
        <w:tab w:val="center" w:pos="4153"/>
        <w:tab w:val="right" w:pos="8306"/>
      </w:tabs>
      <w:snapToGrid w:val="0"/>
      <w:jc w:val="left"/>
    </w:pPr>
    <w:rPr>
      <w:sz w:val="18"/>
      <w:szCs w:val="18"/>
    </w:rPr>
  </w:style>
  <w:style w:type="paragraph" w:styleId="11">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4"/>
    <w:next w:val="4"/>
    <w:link w:val="32"/>
    <w:semiHidden/>
    <w:qFormat/>
    <w:uiPriority w:val="99"/>
    <w:rPr>
      <w:b/>
      <w:bCs/>
    </w:rPr>
  </w:style>
  <w:style w:type="paragraph" w:styleId="14">
    <w:name w:val="Body Text First Indent"/>
    <w:basedOn w:val="5"/>
    <w:next w:val="1"/>
    <w:autoRedefine/>
    <w:unhideWhenUsed/>
    <w:qFormat/>
    <w:uiPriority w:val="99"/>
    <w:pPr>
      <w:ind w:firstLine="420" w:firstLineChars="100"/>
    </w:pPr>
  </w:style>
  <w:style w:type="paragraph" w:styleId="15">
    <w:name w:val="Body Text First Indent 2"/>
    <w:basedOn w:val="6"/>
    <w:next w:val="14"/>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autoRedefine/>
    <w:qFormat/>
    <w:locked/>
    <w:uiPriority w:val="0"/>
    <w:rPr>
      <w:i/>
    </w:rPr>
  </w:style>
  <w:style w:type="character" w:styleId="20">
    <w:name w:val="annotation reference"/>
    <w:basedOn w:val="17"/>
    <w:autoRedefine/>
    <w:semiHidden/>
    <w:qFormat/>
    <w:uiPriority w:val="99"/>
    <w:rPr>
      <w:rFonts w:cs="Times New Roman"/>
      <w:sz w:val="21"/>
      <w:szCs w:val="21"/>
    </w:rPr>
  </w:style>
  <w:style w:type="paragraph" w:customStyle="1" w:styleId="21">
    <w:name w:val="正文(首行缩进)"/>
    <w:basedOn w:val="1"/>
    <w:autoRedefine/>
    <w:qFormat/>
    <w:uiPriority w:val="0"/>
    <w:pPr>
      <w:adjustRightInd w:val="0"/>
      <w:snapToGrid w:val="0"/>
      <w:spacing w:line="360" w:lineRule="auto"/>
      <w:ind w:firstLine="200" w:firstLineChars="200"/>
    </w:pPr>
    <w:rPr>
      <w:snapToGrid w:val="0"/>
      <w:szCs w:val="24"/>
    </w:rPr>
  </w:style>
  <w:style w:type="paragraph" w:customStyle="1" w:styleId="22">
    <w:name w:val="_Style 2"/>
    <w:basedOn w:val="1"/>
    <w:autoRedefine/>
    <w:qFormat/>
    <w:uiPriority w:val="99"/>
    <w:pPr>
      <w:spacing w:line="360" w:lineRule="auto"/>
      <w:ind w:firstLine="200" w:firstLineChars="200"/>
    </w:pPr>
    <w:rPr>
      <w:rFonts w:ascii="Times New Roman" w:hAnsi="Times New Roman"/>
      <w:szCs w:val="24"/>
    </w:rPr>
  </w:style>
  <w:style w:type="paragraph" w:customStyle="1" w:styleId="23">
    <w:name w:val="列出段落1"/>
    <w:basedOn w:val="1"/>
    <w:autoRedefine/>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autoRedefine/>
    <w:qFormat/>
    <w:uiPriority w:val="0"/>
    <w:pPr>
      <w:spacing w:line="360" w:lineRule="auto"/>
      <w:ind w:firstLine="480" w:firstLineChars="200"/>
    </w:pPr>
    <w:rPr>
      <w:color w:val="000000"/>
      <w:sz w:val="24"/>
    </w:rPr>
  </w:style>
  <w:style w:type="paragraph" w:customStyle="1" w:styleId="26">
    <w:name w:val="0文本"/>
    <w:basedOn w:val="25"/>
    <w:autoRedefine/>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5"/>
    <w:semiHidden/>
    <w:qFormat/>
    <w:locked/>
    <w:uiPriority w:val="99"/>
    <w:rPr>
      <w:rFonts w:ascii="宋体" w:hAnsi="宋体" w:eastAsia="宋体" w:cs="宋体"/>
      <w:spacing w:val="48"/>
      <w:kern w:val="0"/>
      <w:sz w:val="24"/>
      <w:szCs w:val="24"/>
    </w:rPr>
  </w:style>
  <w:style w:type="character" w:customStyle="1" w:styleId="29">
    <w:name w:val="页眉 Char"/>
    <w:basedOn w:val="17"/>
    <w:link w:val="11"/>
    <w:semiHidden/>
    <w:qFormat/>
    <w:locked/>
    <w:uiPriority w:val="99"/>
    <w:rPr>
      <w:rFonts w:cs="Times New Roman"/>
      <w:kern w:val="2"/>
      <w:sz w:val="18"/>
      <w:szCs w:val="18"/>
    </w:rPr>
  </w:style>
  <w:style w:type="character" w:customStyle="1" w:styleId="30">
    <w:name w:val="页脚 Char"/>
    <w:basedOn w:val="17"/>
    <w:link w:val="10"/>
    <w:autoRedefine/>
    <w:semiHidden/>
    <w:qFormat/>
    <w:locked/>
    <w:uiPriority w:val="99"/>
    <w:rPr>
      <w:rFonts w:cs="Times New Roman"/>
      <w:kern w:val="2"/>
      <w:sz w:val="18"/>
      <w:szCs w:val="18"/>
    </w:rPr>
  </w:style>
  <w:style w:type="character" w:customStyle="1" w:styleId="31">
    <w:name w:val="批注文字 Char"/>
    <w:basedOn w:val="17"/>
    <w:link w:val="4"/>
    <w:autoRedefine/>
    <w:semiHidden/>
    <w:qFormat/>
    <w:locked/>
    <w:uiPriority w:val="99"/>
    <w:rPr>
      <w:rFonts w:cs="Times New Roman"/>
    </w:rPr>
  </w:style>
  <w:style w:type="character" w:customStyle="1" w:styleId="32">
    <w:name w:val="批注主题 Char"/>
    <w:basedOn w:val="31"/>
    <w:link w:val="13"/>
    <w:semiHidden/>
    <w:qFormat/>
    <w:locked/>
    <w:uiPriority w:val="99"/>
    <w:rPr>
      <w:b/>
      <w:bCs/>
    </w:rPr>
  </w:style>
  <w:style w:type="character" w:customStyle="1" w:styleId="33">
    <w:name w:val="批注框文本 Char"/>
    <w:basedOn w:val="17"/>
    <w:link w:val="9"/>
    <w:semiHidden/>
    <w:qFormat/>
    <w:locked/>
    <w:uiPriority w:val="99"/>
    <w:rPr>
      <w:rFonts w:cs="Times New Roman"/>
      <w:sz w:val="2"/>
    </w:rPr>
  </w:style>
  <w:style w:type="character" w:customStyle="1" w:styleId="34">
    <w:name w:val="正文文本缩进 2 Char"/>
    <w:basedOn w:val="17"/>
    <w:link w:val="8"/>
    <w:semiHidden/>
    <w:qFormat/>
    <w:locked/>
    <w:uiPriority w:val="99"/>
    <w:rPr>
      <w:rFonts w:cs="Times New Roman"/>
    </w:rPr>
  </w:style>
  <w:style w:type="character" w:customStyle="1" w:styleId="35">
    <w:name w:val="日期 Char"/>
    <w:basedOn w:val="17"/>
    <w:link w:val="7"/>
    <w:semiHidden/>
    <w:qFormat/>
    <w:locked/>
    <w:uiPriority w:val="99"/>
    <w:rPr>
      <w:rFonts w:cs="Times New Roman"/>
    </w:rPr>
  </w:style>
  <w:style w:type="character" w:customStyle="1" w:styleId="36">
    <w:name w:val="标题 1 Char"/>
    <w:basedOn w:val="17"/>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1388</Words>
  <Characters>1442</Characters>
  <Lines>11</Lines>
  <Paragraphs>3</Paragraphs>
  <TotalTime>16</TotalTime>
  <ScaleCrop>false</ScaleCrop>
  <LinksUpToDate>false</LinksUpToDate>
  <CharactersWithSpaces>1455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泥巴</cp:lastModifiedBy>
  <cp:lastPrinted>2025-01-13T01:00:00Z</cp:lastPrinted>
  <dcterms:modified xsi:type="dcterms:W3CDTF">2025-04-22T01:00:51Z</dcterms:modified>
  <dc:title>沙环函〔2014〕18号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241D04FCA1F44FD98E8C60CA6F83ED87</vt:lpwstr>
  </property>
  <property fmtid="{D5CDD505-2E9C-101B-9397-08002B2CF9AE}" pid="4" name="KSOTemplateDocerSaveRecord">
    <vt:lpwstr>eyJoZGlkIjoiMGRlYWVhOTU4NDBmMzViYjZiNTNiZjA5YzA4YTdjOTgiLCJ1c2VySWQiOiI5MzA4NzIxNzQifQ==</vt:lpwstr>
  </property>
</Properties>
</file>