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公共文化服务领域基层政务公开标准目录</w:t>
      </w:r>
      <w:bookmarkEnd w:id="0"/>
    </w:p>
    <w:tbl>
      <w:tblPr>
        <w:tblStyle w:val="5"/>
        <w:tblW w:w="14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734"/>
        <w:gridCol w:w="1503"/>
        <w:gridCol w:w="1934"/>
        <w:gridCol w:w="2256"/>
        <w:gridCol w:w="1625"/>
        <w:gridCol w:w="1351"/>
        <w:gridCol w:w="1201"/>
        <w:gridCol w:w="636"/>
        <w:gridCol w:w="709"/>
        <w:gridCol w:w="551"/>
        <w:gridCol w:w="720"/>
        <w:gridCol w:w="529"/>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vMerge w:val="restart"/>
            <w:shd w:val="clear" w:color="auto" w:fill="auto"/>
            <w:noWrap/>
            <w:vAlign w:val="center"/>
          </w:tcPr>
          <w:p>
            <w:pPr>
              <w:widowControl/>
              <w:jc w:val="center"/>
              <w:rPr>
                <w:rFonts w:ascii="Times New Roman" w:hAnsi="Times New Roman"/>
                <w:color w:val="auto"/>
                <w:kern w:val="0"/>
                <w:sz w:val="22"/>
              </w:rPr>
            </w:pPr>
            <w:r>
              <w:rPr>
                <w:rFonts w:ascii="Times New Roman" w:hAnsi="宋体"/>
                <w:color w:val="auto"/>
                <w:kern w:val="0"/>
                <w:sz w:val="22"/>
              </w:rPr>
              <w:t>序号</w:t>
            </w:r>
          </w:p>
        </w:tc>
        <w:tc>
          <w:tcPr>
            <w:tcW w:w="2237" w:type="dxa"/>
            <w:gridSpan w:val="2"/>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34" w:type="dxa"/>
            <w:vMerge w:val="restart"/>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256" w:type="dxa"/>
            <w:vMerge w:val="restart"/>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625" w:type="dxa"/>
            <w:vMerge w:val="restart"/>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351" w:type="dxa"/>
            <w:vMerge w:val="restart"/>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201" w:type="dxa"/>
            <w:vMerge w:val="restart"/>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345" w:type="dxa"/>
            <w:gridSpan w:val="2"/>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191" w:type="dxa"/>
            <w:gridSpan w:val="2"/>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57" w:type="dxa"/>
            <w:vMerge w:val="continue"/>
            <w:shd w:val="clear" w:color="auto" w:fill="auto"/>
            <w:noWrap/>
            <w:vAlign w:val="center"/>
          </w:tcPr>
          <w:p>
            <w:pPr>
              <w:widowControl/>
              <w:jc w:val="center"/>
              <w:rPr>
                <w:rFonts w:ascii="Times New Roman" w:hAnsi="Times New Roman"/>
                <w:color w:val="auto"/>
                <w:kern w:val="0"/>
                <w:sz w:val="22"/>
              </w:rPr>
            </w:pPr>
          </w:p>
        </w:tc>
        <w:tc>
          <w:tcPr>
            <w:tcW w:w="734" w:type="dxa"/>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503" w:type="dxa"/>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34" w:type="dxa"/>
            <w:vMerge w:val="continue"/>
            <w:shd w:val="clear" w:color="auto" w:fill="auto"/>
            <w:noWrap/>
            <w:vAlign w:val="center"/>
          </w:tcPr>
          <w:p>
            <w:pPr>
              <w:widowControl/>
              <w:jc w:val="center"/>
              <w:rPr>
                <w:rFonts w:ascii="黑体" w:hAnsi="宋体" w:eastAsia="黑体" w:cs="宋体"/>
                <w:color w:val="auto"/>
                <w:kern w:val="0"/>
                <w:sz w:val="22"/>
              </w:rPr>
            </w:pPr>
          </w:p>
        </w:tc>
        <w:tc>
          <w:tcPr>
            <w:tcW w:w="2256" w:type="dxa"/>
            <w:vMerge w:val="continue"/>
            <w:shd w:val="clear" w:color="auto" w:fill="auto"/>
            <w:noWrap/>
            <w:vAlign w:val="center"/>
          </w:tcPr>
          <w:p>
            <w:pPr>
              <w:widowControl/>
              <w:jc w:val="center"/>
              <w:rPr>
                <w:rFonts w:ascii="黑体" w:hAnsi="宋体" w:eastAsia="黑体" w:cs="宋体"/>
                <w:color w:val="auto"/>
                <w:kern w:val="0"/>
                <w:sz w:val="22"/>
              </w:rPr>
            </w:pPr>
          </w:p>
        </w:tc>
        <w:tc>
          <w:tcPr>
            <w:tcW w:w="1625" w:type="dxa"/>
            <w:vMerge w:val="continue"/>
            <w:shd w:val="clear" w:color="auto" w:fill="auto"/>
            <w:noWrap/>
            <w:vAlign w:val="center"/>
          </w:tcPr>
          <w:p>
            <w:pPr>
              <w:widowControl/>
              <w:jc w:val="center"/>
              <w:rPr>
                <w:rFonts w:ascii="黑体" w:hAnsi="宋体" w:eastAsia="黑体" w:cs="宋体"/>
                <w:color w:val="auto"/>
                <w:kern w:val="0"/>
                <w:sz w:val="22"/>
              </w:rPr>
            </w:pPr>
          </w:p>
        </w:tc>
        <w:tc>
          <w:tcPr>
            <w:tcW w:w="1351" w:type="dxa"/>
            <w:vMerge w:val="continue"/>
            <w:shd w:val="clear" w:color="auto" w:fill="auto"/>
            <w:noWrap/>
            <w:vAlign w:val="center"/>
          </w:tcPr>
          <w:p>
            <w:pPr>
              <w:widowControl/>
              <w:jc w:val="center"/>
              <w:rPr>
                <w:rFonts w:ascii="黑体" w:hAnsi="宋体" w:eastAsia="黑体" w:cs="宋体"/>
                <w:color w:val="auto"/>
                <w:kern w:val="0"/>
                <w:sz w:val="22"/>
              </w:rPr>
            </w:pPr>
          </w:p>
        </w:tc>
        <w:tc>
          <w:tcPr>
            <w:tcW w:w="1201" w:type="dxa"/>
            <w:vMerge w:val="continue"/>
            <w:shd w:val="clear" w:color="auto" w:fill="auto"/>
            <w:noWrap/>
            <w:vAlign w:val="center"/>
          </w:tcPr>
          <w:p>
            <w:pPr>
              <w:widowControl/>
              <w:jc w:val="center"/>
              <w:rPr>
                <w:rFonts w:ascii="黑体" w:hAnsi="宋体" w:eastAsia="黑体" w:cs="宋体"/>
                <w:color w:val="auto"/>
                <w:kern w:val="0"/>
                <w:sz w:val="22"/>
              </w:rPr>
            </w:pPr>
          </w:p>
        </w:tc>
        <w:tc>
          <w:tcPr>
            <w:tcW w:w="636" w:type="dxa"/>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529" w:type="dxa"/>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662" w:type="dxa"/>
            <w:shd w:val="clear" w:color="auto" w:fill="auto"/>
            <w:noWrap/>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1</w:t>
            </w:r>
          </w:p>
        </w:tc>
        <w:tc>
          <w:tcPr>
            <w:tcW w:w="734" w:type="dxa"/>
            <w:vMerge w:val="restart"/>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互联网上网服务营业场所设立（地址变更）筹建审批。</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《行政许可法》、《政府信息公开条例》、《互联网上网服务营业场所管理条例》（中华人民共和国国务院令第363号）</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2</w:t>
            </w:r>
          </w:p>
        </w:tc>
        <w:tc>
          <w:tcPr>
            <w:tcW w:w="734" w:type="dxa"/>
            <w:vMerge w:val="continue"/>
            <w:shd w:val="clear" w:color="auto" w:fill="auto"/>
            <w:noWrap/>
            <w:vAlign w:val="center"/>
          </w:tcPr>
          <w:p>
            <w:pPr>
              <w:spacing w:line="240" w:lineRule="exact"/>
              <w:jc w:val="center"/>
              <w:rPr>
                <w:rFonts w:ascii="仿宋_GB2312" w:hAnsi="Times New Roman" w:eastAsia="仿宋_GB2312"/>
                <w:color w:val="auto"/>
                <w:sz w:val="18"/>
                <w:szCs w:val="18"/>
              </w:rPr>
            </w:pP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互联网上网服务营业场所设立（地址变更）最终审核</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同上</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3</w:t>
            </w:r>
          </w:p>
        </w:tc>
        <w:tc>
          <w:tcPr>
            <w:tcW w:w="734" w:type="dxa"/>
            <w:vMerge w:val="continue"/>
            <w:shd w:val="clear" w:color="auto" w:fill="auto"/>
            <w:noWrap/>
            <w:vAlign w:val="center"/>
          </w:tcPr>
          <w:p>
            <w:pPr>
              <w:spacing w:line="240" w:lineRule="exact"/>
              <w:jc w:val="center"/>
              <w:rPr>
                <w:rFonts w:ascii="仿宋_GB2312" w:hAnsi="Times New Roman" w:eastAsia="仿宋_GB2312"/>
                <w:color w:val="auto"/>
                <w:sz w:val="18"/>
                <w:szCs w:val="18"/>
              </w:rPr>
            </w:pP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互联网上网服务营业场所变更审批</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同上</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4</w:t>
            </w:r>
          </w:p>
        </w:tc>
        <w:tc>
          <w:tcPr>
            <w:tcW w:w="734" w:type="dxa"/>
            <w:vMerge w:val="restart"/>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娱乐场所经营许可</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《行政许可法》、《政府信息公开条例》、《娱乐场所管理条例》（国务院令第458号）、《娱乐场所管理办法》</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5</w:t>
            </w:r>
          </w:p>
        </w:tc>
        <w:tc>
          <w:tcPr>
            <w:tcW w:w="734" w:type="dxa"/>
            <w:vMerge w:val="continue"/>
            <w:shd w:val="clear" w:color="auto" w:fill="auto"/>
            <w:noWrap/>
            <w:vAlign w:val="center"/>
          </w:tcPr>
          <w:p>
            <w:pPr>
              <w:spacing w:line="240" w:lineRule="exact"/>
              <w:jc w:val="center"/>
              <w:rPr>
                <w:rFonts w:ascii="仿宋_GB2312" w:hAnsi="Times New Roman" w:eastAsia="仿宋_GB2312"/>
                <w:color w:val="auto"/>
                <w:sz w:val="18"/>
                <w:szCs w:val="18"/>
              </w:rPr>
            </w:pP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娱乐场所变更审批</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同上</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s="Times New Roman"/>
                <w:color w:val="auto"/>
                <w:kern w:val="2"/>
                <w:sz w:val="18"/>
                <w:szCs w:val="18"/>
                <w:lang w:val="en-US" w:eastAsia="zh-CN" w:bidi="ar-SA"/>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6</w:t>
            </w:r>
          </w:p>
        </w:tc>
        <w:tc>
          <w:tcPr>
            <w:tcW w:w="734" w:type="dxa"/>
            <w:vMerge w:val="restart"/>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出版物零售业务的单位和个体工商户许可</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《行政许可法》、《政府信息公开条例》、《出版管理条例》 《出版物市场管理规定》 （国家新闻出版广电总局、商务部令第10号）</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s="Times New Roman"/>
                <w:color w:val="auto"/>
                <w:kern w:val="2"/>
                <w:sz w:val="18"/>
                <w:szCs w:val="18"/>
                <w:lang w:val="en-US" w:eastAsia="zh-CN" w:bidi="ar-SA"/>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7</w:t>
            </w:r>
          </w:p>
        </w:tc>
        <w:tc>
          <w:tcPr>
            <w:tcW w:w="734" w:type="dxa"/>
            <w:vMerge w:val="continue"/>
            <w:shd w:val="clear" w:color="auto" w:fill="auto"/>
            <w:noWrap/>
            <w:vAlign w:val="center"/>
          </w:tcPr>
          <w:p>
            <w:pPr>
              <w:spacing w:line="240" w:lineRule="exact"/>
              <w:jc w:val="center"/>
              <w:rPr>
                <w:rFonts w:ascii="仿宋_GB2312" w:hAnsi="Times New Roman" w:eastAsia="仿宋_GB2312"/>
                <w:color w:val="auto"/>
                <w:sz w:val="18"/>
                <w:szCs w:val="18"/>
              </w:rPr>
            </w:pP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申办经营性公共游泳场所审批</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《行政许可法》；《政府信息公开条例》《全民健身条例》 （国务院令第560号）、《经营高危险性体育项目许可管理办法》 （国家体育总局令 第17号）、《福建省公共游泳场所管理办法》 （福建省人民政府令 第145号）</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s="Times New Roman"/>
                <w:color w:val="auto"/>
                <w:kern w:val="2"/>
                <w:sz w:val="18"/>
                <w:szCs w:val="18"/>
                <w:lang w:val="en-US" w:eastAsia="zh-CN" w:bidi="ar-SA"/>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8</w:t>
            </w:r>
          </w:p>
        </w:tc>
        <w:tc>
          <w:tcPr>
            <w:tcW w:w="734" w:type="dxa"/>
            <w:vMerge w:val="restart"/>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擅自停止实施经营管理技术措施</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s="Times New Roman"/>
                <w:color w:val="auto"/>
                <w:kern w:val="2"/>
                <w:sz w:val="18"/>
                <w:szCs w:val="18"/>
                <w:lang w:val="en-US" w:eastAsia="zh-CN" w:bidi="ar-SA"/>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9</w:t>
            </w:r>
          </w:p>
        </w:tc>
        <w:tc>
          <w:tcPr>
            <w:tcW w:w="734" w:type="dxa"/>
            <w:vMerge w:val="continue"/>
            <w:shd w:val="clear" w:color="auto" w:fill="auto"/>
            <w:noWrap/>
            <w:vAlign w:val="center"/>
          </w:tcPr>
          <w:p>
            <w:pPr>
              <w:spacing w:line="240" w:lineRule="exact"/>
              <w:jc w:val="center"/>
              <w:rPr>
                <w:rFonts w:ascii="仿宋_GB2312" w:hAnsi="Times New Roman" w:eastAsia="仿宋_GB2312"/>
                <w:color w:val="auto"/>
                <w:sz w:val="18"/>
                <w:szCs w:val="18"/>
              </w:rPr>
            </w:pP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未按规定核对、登记上网消费者的有效身份证件</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2256" w:type="dxa"/>
            <w:shd w:val="clear" w:color="auto" w:fill="auto"/>
            <w:noWrap/>
            <w:vAlign w:val="center"/>
          </w:tcPr>
          <w:p>
            <w:pPr>
              <w:spacing w:line="240" w:lineRule="exact"/>
              <w:jc w:val="lef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同上</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s="Times New Roman"/>
                <w:color w:val="auto"/>
                <w:kern w:val="2"/>
                <w:sz w:val="18"/>
                <w:szCs w:val="18"/>
                <w:lang w:val="en-US" w:eastAsia="zh-CN" w:bidi="ar-SA"/>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10</w:t>
            </w:r>
          </w:p>
        </w:tc>
        <w:tc>
          <w:tcPr>
            <w:tcW w:w="734" w:type="dxa"/>
            <w:vMerge w:val="continue"/>
            <w:shd w:val="clear" w:color="auto" w:fill="auto"/>
            <w:noWrap/>
            <w:vAlign w:val="center"/>
          </w:tcPr>
          <w:p>
            <w:pPr>
              <w:spacing w:line="240" w:lineRule="exact"/>
              <w:jc w:val="center"/>
              <w:rPr>
                <w:rFonts w:ascii="仿宋_GB2312" w:hAnsi="Times New Roman" w:eastAsia="仿宋_GB2312"/>
                <w:color w:val="auto"/>
                <w:sz w:val="18"/>
                <w:szCs w:val="18"/>
              </w:rPr>
            </w:pP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接纳未成年人进入营业场所</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同上</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s="Times New Roman"/>
                <w:color w:val="auto"/>
                <w:kern w:val="2"/>
                <w:sz w:val="18"/>
                <w:szCs w:val="18"/>
                <w:lang w:val="en-US" w:eastAsia="zh-CN" w:bidi="ar-SA"/>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■公开查阅点     </w:t>
            </w:r>
          </w:p>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■政务服务中心</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11</w:t>
            </w:r>
          </w:p>
        </w:tc>
        <w:tc>
          <w:tcPr>
            <w:tcW w:w="734"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从业人员在营业期间未统一着装</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s="Times New Roman"/>
                <w:color w:val="auto"/>
                <w:kern w:val="2"/>
                <w:sz w:val="18"/>
                <w:szCs w:val="18"/>
                <w:lang w:val="en-US" w:eastAsia="zh-CN" w:bidi="ar-SA"/>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57" w:type="dxa"/>
            <w:shd w:val="clear" w:color="auto" w:fill="auto"/>
            <w:noWrap/>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12</w:t>
            </w:r>
          </w:p>
        </w:tc>
        <w:tc>
          <w:tcPr>
            <w:tcW w:w="734"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公共文化单位免费开放信息</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1.单位名称；</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2.开放时间；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3.单位地址；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5.临时停止开放信息。</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中华人民共和国</w:t>
            </w:r>
            <w:bookmarkStart w:id="1" w:name="_GoBack"/>
            <w:bookmarkEnd w:id="1"/>
            <w:r>
              <w:rPr>
                <w:rFonts w:hint="eastAsia" w:ascii="仿宋_GB2312" w:hAnsi="Times New Roman" w:eastAsia="仿宋_GB2312"/>
                <w:color w:val="auto"/>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■相关公共文化服务单位网站、微信</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13</w:t>
            </w:r>
          </w:p>
        </w:tc>
        <w:tc>
          <w:tcPr>
            <w:tcW w:w="734" w:type="dxa"/>
            <w:vMerge w:val="restart"/>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组织开展群众文化活动</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1.单位名称；</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2.开放时间；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3.单位地址；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5.临时停止活动信息。</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《政府信息公开条例》、《文化馆服务标准》《乡镇综合文化站管理办法》</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■相关公共文化服务单位网站、微信</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14</w:t>
            </w:r>
          </w:p>
        </w:tc>
        <w:tc>
          <w:tcPr>
            <w:tcW w:w="734" w:type="dxa"/>
            <w:vMerge w:val="continue"/>
            <w:shd w:val="clear" w:color="auto" w:fill="auto"/>
            <w:noWrap/>
            <w:vAlign w:val="center"/>
          </w:tcPr>
          <w:p>
            <w:pPr>
              <w:spacing w:line="240" w:lineRule="exact"/>
              <w:jc w:val="center"/>
              <w:rPr>
                <w:rFonts w:ascii="仿宋_GB2312" w:hAnsi="Times New Roman" w:eastAsia="仿宋_GB2312"/>
                <w:color w:val="auto"/>
                <w:sz w:val="18"/>
                <w:szCs w:val="18"/>
              </w:rPr>
            </w:pP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下基层演出、展览等</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1.活动时间；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2.活动单位；</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3.活动地址；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5.临时停止活动信息。</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《政府信息公开条例》、《文化馆服务标准》《乡镇综合文化站管理办法》</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■相关公共文化服务单位网站、微信</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7" w:type="dxa"/>
            <w:shd w:val="clear" w:color="auto" w:fill="auto"/>
            <w:noWrap/>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15</w:t>
            </w:r>
          </w:p>
        </w:tc>
        <w:tc>
          <w:tcPr>
            <w:tcW w:w="734" w:type="dxa"/>
            <w:vMerge w:val="continue"/>
            <w:shd w:val="clear" w:color="auto" w:fill="auto"/>
            <w:noWrap/>
            <w:vAlign w:val="center"/>
          </w:tcPr>
          <w:p>
            <w:pPr>
              <w:spacing w:line="240" w:lineRule="exact"/>
              <w:jc w:val="center"/>
              <w:rPr>
                <w:rFonts w:ascii="仿宋_GB2312" w:hAnsi="Times New Roman" w:eastAsia="仿宋_GB2312"/>
                <w:color w:val="auto"/>
                <w:sz w:val="18"/>
                <w:szCs w:val="18"/>
              </w:rPr>
            </w:pP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举办各类展览、讲座信息</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1.活动时间；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2.活动单位；</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3.活动地址；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5.临时停止活动信息。</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《政府信息公开条例》、《文化馆服务标准》《乡镇综合文化站管理办法》</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■相关公共文化服务单位网站、微信</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57" w:type="dxa"/>
            <w:shd w:val="clear" w:color="auto" w:fill="auto"/>
            <w:noWrap/>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16</w:t>
            </w:r>
          </w:p>
        </w:tc>
        <w:tc>
          <w:tcPr>
            <w:tcW w:w="734"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3"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文博单位名录</w:t>
            </w:r>
          </w:p>
        </w:tc>
        <w:tc>
          <w:tcPr>
            <w:tcW w:w="1934"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文物保护管理机构和博物馆名录</w:t>
            </w:r>
          </w:p>
        </w:tc>
        <w:tc>
          <w:tcPr>
            <w:tcW w:w="2256"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w:t>
            </w:r>
          </w:p>
        </w:tc>
        <w:tc>
          <w:tcPr>
            <w:tcW w:w="1625" w:type="dxa"/>
            <w:shd w:val="clear" w:color="auto" w:fill="auto"/>
            <w:noWrap/>
            <w:vAlign w:val="center"/>
          </w:tcPr>
          <w:p>
            <w:pPr>
              <w:spacing w:line="240" w:lineRule="exact"/>
              <w:jc w:val="lef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51" w:type="dxa"/>
            <w:shd w:val="clear" w:color="auto" w:fill="auto"/>
            <w:noWrap/>
            <w:vAlign w:val="center"/>
          </w:tcPr>
          <w:p>
            <w:pPr>
              <w:spacing w:line="240" w:lineRule="exact"/>
              <w:jc w:val="center"/>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沙县文体和旅游局</w:t>
            </w:r>
          </w:p>
        </w:tc>
        <w:tc>
          <w:tcPr>
            <w:tcW w:w="120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36"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51"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noWrap/>
            <w:vAlign w:val="center"/>
          </w:tcPr>
          <w:p>
            <w:pPr>
              <w:spacing w:line="240" w:lineRule="exact"/>
              <w:jc w:val="center"/>
              <w:rPr>
                <w:rFonts w:ascii="仿宋_GB2312" w:hAnsi="Times New Roman" w:eastAsia="仿宋_GB2312"/>
                <w:color w:val="auto"/>
                <w:sz w:val="18"/>
                <w:szCs w:val="18"/>
              </w:rPr>
            </w:pPr>
          </w:p>
        </w:tc>
        <w:tc>
          <w:tcPr>
            <w:tcW w:w="529"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2" w:type="dxa"/>
            <w:shd w:val="clear" w:color="auto" w:fill="auto"/>
            <w:noWrap/>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bl>
    <w:p/>
    <w:sectPr>
      <w:pgSz w:w="16838" w:h="11906" w:orient="landscape"/>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宋体"/>
    <w:panose1 w:val="00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14BBF"/>
    <w:rsid w:val="003A3269"/>
    <w:rsid w:val="006D5E5D"/>
    <w:rsid w:val="008176B6"/>
    <w:rsid w:val="00894121"/>
    <w:rsid w:val="00C075D6"/>
    <w:rsid w:val="00D34D1B"/>
    <w:rsid w:val="00F73C16"/>
    <w:rsid w:val="0E9622FD"/>
    <w:rsid w:val="21B14BBF"/>
    <w:rsid w:val="4A5716D1"/>
    <w:rsid w:val="75EF7A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1280</Words>
  <Characters>7298</Characters>
  <Lines>60</Lines>
  <Paragraphs>17</Paragraphs>
  <TotalTime>2</TotalTime>
  <ScaleCrop>false</ScaleCrop>
  <LinksUpToDate>false</LinksUpToDate>
  <CharactersWithSpaces>8561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2020-11-10T10:08:00Z</dcterms:created>
  <dc:creator>fantasy</dc:creator>
  <cp:lastModifiedBy>fjssms</cp:lastModifiedBy>
  <dcterms:modified xsi:type="dcterms:W3CDTF">2023-07-21T11:49:51Z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